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46E78"/>
          <w:sz w:val="26"/>
        </w:rPr>
        <w:t>Project Progress</w:t>
      </w:r>
    </w:p>
    <w:p>
      <w:pPr>
        <w:spacing w:before="0" w:after="240"/>
        <w:jc w:val="center"/>
      </w:pPr>
      <w:r>
        <w:rPr>
          <w:rFonts w:ascii="Calibri" w:hAnsi="Calibri"/>
          <w:b/>
          <w:color w:val="0C2C62"/>
          <w:sz w:val="40"/>
        </w:rPr>
        <w:t>Nowcasting Inflation via Daily Web Scraping Price</w:t>
      </w:r>
    </w:p>
    <w:p>
      <w:pPr>
        <w:pStyle w:val="Heading1"/>
        <w:spacing w:before="120" w:after="80"/>
      </w:pPr>
      <w:r>
        <w:t>1. Objective</w:t>
      </w:r>
    </w:p>
    <w:p>
      <w:pPr>
        <w:pStyle w:val="ListBullet"/>
        <w:spacing w:before="40" w:after="60"/>
      </w:pPr>
      <w:r>
        <w:rPr>
          <w:b/>
          <w:color w:val="0C2C62"/>
        </w:rPr>
        <w:t xml:space="preserve">Build an Automated Data Infrastructure and Monitoring System: </w:t>
      </w:r>
      <w:r>
        <w:t>Set up an automated data pipeline and database to collect, store, and continuously monitor price.</w:t>
      </w:r>
    </w:p>
    <w:p>
      <w:pPr>
        <w:pStyle w:val="ListBullet"/>
        <w:spacing w:before="40" w:after="60"/>
      </w:pPr>
      <w:r>
        <w:rPr>
          <w:b/>
          <w:color w:val="0C2C62"/>
        </w:rPr>
        <w:t xml:space="preserve">Calculate CPI for inflation nowcasting using machine learning model: </w:t>
      </w:r>
      <w:r>
        <w:t>Apply an economic formula to compute daily price relatives, and use regularized Ridge regression modeling to nowcast inflation ahead of the official monthly release.</w:t>
      </w:r>
    </w:p>
    <w:p>
      <w:pPr>
        <w:pStyle w:val="ListBullet"/>
        <w:spacing w:before="40" w:after="60"/>
      </w:pPr>
      <w:r>
        <w:rPr>
          <w:b/>
          <w:color w:val="0C2C62"/>
        </w:rPr>
        <w:t xml:space="preserve">Build a decision-support dashboard: </w:t>
      </w:r>
      <w:r>
        <w:t>Develop an interactive dashboard that presents daily CPI results and inflation for easy monitoring.</w:t>
      </w:r>
    </w:p>
    <w:p>
      <w:pPr>
        <w:pStyle w:val="Heading1"/>
        <w:spacing w:before="240" w:after="80"/>
      </w:pPr>
      <w:r>
        <w:t>2. Architecture</w:t>
      </w:r>
    </w:p>
    <w:p>
      <w:pPr>
        <w:spacing w:before="80" w:after="40"/>
        <w:jc w:val="center"/>
      </w:pPr>
    </w:p>
    <w:p>
      <w:r>
        <w:drawing>
          <wp:inline xmlns:a="http://schemas.openxmlformats.org/drawingml/2006/main" xmlns:pic="http://schemas.openxmlformats.org/drawingml/2006/picture">
            <wp:extent cx="4572000" cy="2551814"/>
            <wp:docPr id="1" name="Picture 1"/>
            <wp:cNvGraphicFramePr>
              <a:graphicFrameLocks noChangeAspect="1"/>
            </wp:cNvGraphicFramePr>
            <a:graphic>
              <a:graphicData uri="http://schemas.openxmlformats.org/drawingml/2006/picture">
                <pic:pic>
                  <pic:nvPicPr>
                    <pic:cNvPr id="0" name="cpi_architecture_clean.png"/>
                    <pic:cNvPicPr/>
                  </pic:nvPicPr>
                  <pic:blipFill>
                    <a:blip r:embed="rId11"/>
                    <a:stretch>
                      <a:fillRect/>
                    </a:stretch>
                  </pic:blipFill>
                  <pic:spPr>
                    <a:xfrm>
                      <a:off x="0" y="0"/>
                      <a:ext cx="4572000" cy="2551814"/>
                    </a:xfrm>
                    <a:prstGeom prst="rect"/>
                  </pic:spPr>
                </pic:pic>
              </a:graphicData>
            </a:graphic>
          </wp:inline>
        </w:drawing>
      </w:r>
    </w:p>
    <w:p>
      <w:pPr>
        <w:spacing w:after="120"/>
        <w:jc w:val="center"/>
      </w:pPr>
      <w:r>
        <w:rPr>
          <w:i/>
          <w:color w:val="646464"/>
          <w:sz w:val="17"/>
        </w:rPr>
        <w:t>Figure 1: End-to-End System Architecture: Web Scraping, Medallion Pipeline &amp; Dashboard.</w:t>
      </w:r>
    </w:p>
    <w:p>
      <w:pPr>
        <w:pStyle w:val="Heading2"/>
        <w:spacing w:before="80" w:after="80"/>
      </w:pPr>
      <w:r>
        <w:t>Technology Stack</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5184"/>
        <w:gridCol w:w="5184"/>
      </w:tblGrid>
      <w:tr>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Component / Layer</w:t>
            </w:r>
          </w:p>
        </w:tc>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Technology Stack</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Data Ingestion &amp; Scraping</w:t>
            </w:r>
          </w:p>
        </w:tc>
        <w:tc>
          <w:tcPr>
            <w:tcW w:type="dxa" w:w="5040"/>
            <w:shd w:val="clear" w:color="auto" w:fill="FFFFFF"/>
            <w:tcMar>
              <w:top w:w="35" w:type="dxa"/>
              <w:bottom w:w="35" w:type="dxa"/>
              <w:left w:w="80" w:type="dxa"/>
              <w:right w:w="80" w:type="dxa"/>
            </w:tcMar>
          </w:tcPr>
          <w:p>
            <w:pPr>
              <w:spacing w:after="0"/>
            </w:pPr>
            <w:r>
              <w:rPr>
                <w:rFonts w:ascii="Calibri" w:hAnsi="Calibri"/>
                <w:sz w:val="17"/>
              </w:rPr>
              <w:t>Python</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Database and Storage</w:t>
            </w:r>
          </w:p>
        </w:tc>
        <w:tc>
          <w:tcPr>
            <w:tcW w:type="dxa" w:w="5040"/>
            <w:shd w:val="clear" w:color="auto" w:fill="F8F9FA"/>
            <w:tcMar>
              <w:top w:w="35" w:type="dxa"/>
              <w:bottom w:w="35" w:type="dxa"/>
              <w:left w:w="80" w:type="dxa"/>
              <w:right w:w="80" w:type="dxa"/>
            </w:tcMar>
          </w:tcPr>
          <w:p>
            <w:pPr>
              <w:spacing w:after="0"/>
            </w:pPr>
            <w:r>
              <w:rPr>
                <w:rFonts w:ascii="Calibri" w:hAnsi="Calibri"/>
                <w:sz w:val="17"/>
              </w:rPr>
              <w:t>Postgres 16</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Orchestration</w:t>
            </w:r>
          </w:p>
        </w:tc>
        <w:tc>
          <w:tcPr>
            <w:tcW w:type="dxa" w:w="5040"/>
            <w:shd w:val="clear" w:color="auto" w:fill="FFFFFF"/>
            <w:tcMar>
              <w:top w:w="35" w:type="dxa"/>
              <w:bottom w:w="35" w:type="dxa"/>
              <w:left w:w="80" w:type="dxa"/>
              <w:right w:w="80" w:type="dxa"/>
            </w:tcMar>
          </w:tcPr>
          <w:p>
            <w:pPr>
              <w:spacing w:after="0"/>
            </w:pPr>
            <w:r>
              <w:rPr>
                <w:rFonts w:ascii="Calibri" w:hAnsi="Calibri"/>
                <w:sz w:val="17"/>
              </w:rPr>
              <w:t>Apache Airflow</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 Transformation</w:t>
            </w:r>
          </w:p>
        </w:tc>
        <w:tc>
          <w:tcPr>
            <w:tcW w:type="dxa" w:w="5040"/>
            <w:shd w:val="clear" w:color="auto" w:fill="F8F9FA"/>
            <w:tcMar>
              <w:top w:w="35" w:type="dxa"/>
              <w:bottom w:w="35" w:type="dxa"/>
              <w:left w:w="80" w:type="dxa"/>
              <w:right w:w="80" w:type="dxa"/>
            </w:tcMar>
          </w:tcPr>
          <w:p>
            <w:pPr>
              <w:spacing w:after="0"/>
            </w:pPr>
            <w:r>
              <w:rPr>
                <w:rFonts w:ascii="Calibri" w:hAnsi="Calibri"/>
                <w:sz w:val="17"/>
              </w:rPr>
              <w:t>dbt Core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AI Product Classifications</w:t>
            </w:r>
          </w:p>
        </w:tc>
        <w:tc>
          <w:tcPr>
            <w:tcW w:type="dxa" w:w="5040"/>
            <w:shd w:val="clear" w:color="auto" w:fill="FFFFFF"/>
            <w:tcMar>
              <w:top w:w="35" w:type="dxa"/>
              <w:bottom w:w="35" w:type="dxa"/>
              <w:left w:w="80" w:type="dxa"/>
              <w:right w:w="80" w:type="dxa"/>
            </w:tcMar>
          </w:tcPr>
          <w:p>
            <w:pPr>
              <w:spacing w:after="0"/>
            </w:pPr>
            <w:r>
              <w:rPr>
                <w:rFonts w:ascii="Calibri" w:hAnsi="Calibri"/>
                <w:sz w:val="17"/>
              </w:rPr>
              <w:t>Gemini AI</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Dashboard and Monitoring</w:t>
            </w:r>
          </w:p>
        </w:tc>
        <w:tc>
          <w:tcPr>
            <w:tcW w:type="dxa" w:w="5040"/>
            <w:shd w:val="clear" w:color="auto" w:fill="F8F9FA"/>
            <w:tcMar>
              <w:top w:w="35" w:type="dxa"/>
              <w:bottom w:w="35" w:type="dxa"/>
              <w:left w:w="80" w:type="dxa"/>
              <w:right w:w="80" w:type="dxa"/>
            </w:tcMar>
          </w:tcPr>
          <w:p>
            <w:pPr>
              <w:spacing w:after="0"/>
            </w:pPr>
            <w:r>
              <w:rPr>
                <w:rFonts w:ascii="Calibri" w:hAnsi="Calibri"/>
                <w:sz w:val="17"/>
              </w:rPr>
              <w:t>Metabase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System Container</w:t>
            </w:r>
          </w:p>
        </w:tc>
        <w:tc>
          <w:tcPr>
            <w:tcW w:type="dxa" w:w="5040"/>
            <w:shd w:val="clear" w:color="auto" w:fill="FFFFFF"/>
            <w:tcMar>
              <w:top w:w="35" w:type="dxa"/>
              <w:bottom w:w="35" w:type="dxa"/>
              <w:left w:w="80" w:type="dxa"/>
              <w:right w:w="80" w:type="dxa"/>
            </w:tcMar>
          </w:tcPr>
          <w:p>
            <w:pPr>
              <w:spacing w:after="0"/>
            </w:pPr>
            <w:r>
              <w:rPr>
                <w:rFonts w:ascii="Calibri" w:hAnsi="Calibri"/>
                <w:sz w:val="17"/>
              </w:rPr>
              <w:t>Docker</w:t>
            </w:r>
          </w:p>
        </w:tc>
      </w:tr>
    </w:tbl>
    <w:p>
      <w:r>
        <w:br w:type="page"/>
      </w:r>
    </w:p>
    <w:p>
      <w:pPr>
        <w:pStyle w:val="Heading1"/>
        <w:spacing w:before="0" w:after="80"/>
      </w:pPr>
      <w:r>
        <w:t>3. Data Collection</w:t>
      </w:r>
    </w:p>
    <w:tbl>
      <w:tblPr>
        <w:tblW w:type="auto" w:w="0"/>
        <w:jc w:val="center"/>
        <w:tblLook w:firstColumn="1" w:firstRow="1" w:lastColumn="0" w:lastRow="0" w:noHBand="0" w:noVBand="1" w:val="04A0"/>
        <w:tblBorders>
          <w:top w:val="single" w:sz="4" w:space="0" w:color="D0D5DD"/>
          <w:left w:val="single" w:sz="4" w:space="0" w:color="D0D5DD"/>
          <w:bottom w:val="single" w:sz="4" w:space="0" w:color="D0D5DD"/>
          <w:right w:val="single" w:sz="4" w:space="0" w:color="D0D5DD"/>
          <w:insideH w:val="single" w:sz="4" w:space="0" w:color="D0D5DD"/>
          <w:insideV w:val="none"/>
        </w:tblBorders>
      </w:tblPr>
      <w:tblGrid>
        <w:gridCol w:w="5184"/>
        <w:gridCol w:w="5184"/>
      </w:tblGrid>
      <w:tr>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Data Source</w:t>
            </w:r>
          </w:p>
        </w:tc>
        <w:tc>
          <w:tcPr>
            <w:tcW w:type="dxa" w:w="5040"/>
            <w:shd w:val="clear" w:color="auto" w:fill="0C2C62"/>
            <w:tcMar>
              <w:top w:w="40" w:type="dxa"/>
              <w:bottom w:w="40" w:type="dxa"/>
              <w:left w:w="80" w:type="dxa"/>
              <w:right w:w="80" w:type="dxa"/>
            </w:tcMar>
          </w:tcPr>
          <w:p>
            <w:pPr>
              <w:spacing w:after="0"/>
            </w:pPr>
            <w:r>
              <w:rPr>
                <w:rFonts w:ascii="Calibri" w:hAnsi="Calibri"/>
                <w:b/>
                <w:color w:val="FFFFFF"/>
                <w:sz w:val="18"/>
              </w:rPr>
              <w:t>Description</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AEON Online Cambodia</w:t>
            </w:r>
          </w:p>
        </w:tc>
        <w:tc>
          <w:tcPr>
            <w:tcW w:type="dxa" w:w="5040"/>
            <w:shd w:val="clear" w:color="auto" w:fill="FFFFFF"/>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DeliShop Asia Phnom Penh</w:t>
            </w:r>
          </w:p>
        </w:tc>
        <w:tc>
          <w:tcPr>
            <w:tcW w:type="dxa" w:w="5040"/>
            <w:shd w:val="clear" w:color="auto" w:fill="F8F9FA"/>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GrabMart (Lucky Supermarket, Chip Mong)</w:t>
            </w:r>
          </w:p>
        </w:tc>
        <w:tc>
          <w:tcPr>
            <w:tcW w:type="dxa" w:w="5040"/>
            <w:shd w:val="clear" w:color="auto" w:fill="FFFFFF"/>
            <w:tcMar>
              <w:top w:w="35" w:type="dxa"/>
              <w:bottom w:w="35" w:type="dxa"/>
              <w:left w:w="80" w:type="dxa"/>
              <w:right w:w="80" w:type="dxa"/>
            </w:tcMar>
          </w:tcPr>
          <w:p>
            <w:pPr>
              <w:spacing w:after="0"/>
            </w:pPr>
            <w:r>
              <w:rPr>
                <w:rFonts w:ascii="Calibri" w:hAnsi="Calibri"/>
                <w:sz w:val="17"/>
              </w:rPr>
              <w:t>Supermarket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L192 Online Marketplace</w:t>
            </w:r>
          </w:p>
        </w:tc>
        <w:tc>
          <w:tcPr>
            <w:tcW w:type="dxa" w:w="5040"/>
            <w:shd w:val="clear" w:color="auto" w:fill="F8F9FA"/>
            <w:tcMar>
              <w:top w:w="35" w:type="dxa"/>
              <w:bottom w:w="35" w:type="dxa"/>
              <w:left w:w="80" w:type="dxa"/>
              <w:right w:w="80" w:type="dxa"/>
            </w:tcMar>
          </w:tcPr>
          <w:p>
            <w:pPr>
              <w:spacing w:after="0"/>
            </w:pPr>
            <w:r>
              <w:rPr>
                <w:rFonts w:ascii="Calibri" w:hAnsi="Calibri"/>
                <w:sz w:val="17"/>
              </w:rPr>
              <w:t>Footwear &amp; Homeware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Community Pharmacy &amp; Ucare Pharmacy</w:t>
            </w:r>
          </w:p>
        </w:tc>
        <w:tc>
          <w:tcPr>
            <w:tcW w:type="dxa" w:w="5040"/>
            <w:shd w:val="clear" w:color="auto" w:fill="FFFFFF"/>
            <w:tcMar>
              <w:top w:w="35" w:type="dxa"/>
              <w:bottom w:w="35" w:type="dxa"/>
              <w:left w:w="80" w:type="dxa"/>
              <w:right w:w="80" w:type="dxa"/>
            </w:tcMar>
          </w:tcPr>
          <w:p>
            <w:pPr>
              <w:spacing w:after="0"/>
            </w:pPr>
            <w:r>
              <w:rPr>
                <w:rFonts w:ascii="Calibri" w:hAnsi="Calibri"/>
                <w:sz w:val="17"/>
              </w:rPr>
              <w:t>Healthcare &amp; Pharmaceutical Goods</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Khmer24 &amp; Realestate.com.kh</w:t>
            </w:r>
          </w:p>
        </w:tc>
        <w:tc>
          <w:tcPr>
            <w:tcW w:type="dxa" w:w="5040"/>
            <w:shd w:val="clear" w:color="auto" w:fill="F8F9FA"/>
            <w:tcMar>
              <w:top w:w="35" w:type="dxa"/>
              <w:bottom w:w="35" w:type="dxa"/>
              <w:left w:w="80" w:type="dxa"/>
              <w:right w:w="80" w:type="dxa"/>
            </w:tcMar>
          </w:tcPr>
          <w:p>
            <w:pPr>
              <w:spacing w:after="0"/>
            </w:pPr>
            <w:r>
              <w:rPr>
                <w:rFonts w:ascii="Calibri" w:hAnsi="Calibri"/>
                <w:sz w:val="17"/>
              </w:rPr>
              <w:t>Urban Residential Apartment, House Rentals</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redBus &amp; BookMeBus Transit</w:t>
            </w:r>
          </w:p>
        </w:tc>
        <w:tc>
          <w:tcPr>
            <w:tcW w:type="dxa" w:w="5040"/>
            <w:shd w:val="clear" w:color="auto" w:fill="FFFFFF"/>
            <w:tcMar>
              <w:top w:w="35" w:type="dxa"/>
              <w:bottom w:w="35" w:type="dxa"/>
              <w:left w:w="80" w:type="dxa"/>
              <w:right w:w="80" w:type="dxa"/>
            </w:tcMar>
          </w:tcPr>
          <w:p>
            <w:pPr>
              <w:spacing w:after="0"/>
            </w:pPr>
            <w:r>
              <w:rPr>
                <w:rFonts w:ascii="Calibri" w:hAnsi="Calibri"/>
                <w:sz w:val="17"/>
              </w:rPr>
              <w:t>Bus &amp; Travel Transport</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Cellcard, Smart Axiata, Metfone</w:t>
            </w:r>
          </w:p>
        </w:tc>
        <w:tc>
          <w:tcPr>
            <w:tcW w:type="dxa" w:w="5040"/>
            <w:shd w:val="clear" w:color="auto" w:fill="F8F9FA"/>
            <w:tcMar>
              <w:top w:w="35" w:type="dxa"/>
              <w:bottom w:w="35" w:type="dxa"/>
              <w:left w:w="80" w:type="dxa"/>
              <w:right w:w="80" w:type="dxa"/>
            </w:tcMar>
          </w:tcPr>
          <w:p>
            <w:pPr>
              <w:spacing w:after="0"/>
            </w:pPr>
            <w:r>
              <w:rPr>
                <w:rFonts w:ascii="Calibri" w:hAnsi="Calibri"/>
                <w:sz w:val="17"/>
              </w:rPr>
              <w:t>Mobile plan and Wi-Fi</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Tela Khmer</w:t>
            </w:r>
          </w:p>
        </w:tc>
        <w:tc>
          <w:tcPr>
            <w:tcW w:type="dxa" w:w="5040"/>
            <w:shd w:val="clear" w:color="auto" w:fill="FFFFFF"/>
            <w:tcMar>
              <w:top w:w="35" w:type="dxa"/>
              <w:bottom w:w="35" w:type="dxa"/>
              <w:left w:w="80" w:type="dxa"/>
              <w:right w:w="80" w:type="dxa"/>
            </w:tcMar>
          </w:tcPr>
          <w:p>
            <w:pPr>
              <w:spacing w:after="0"/>
            </w:pPr>
            <w:r>
              <w:rPr>
                <w:rFonts w:ascii="Calibri" w:hAnsi="Calibri"/>
                <w:sz w:val="17"/>
              </w:rPr>
              <w:t>Gasoline</w:t>
            </w:r>
          </w:p>
        </w:tc>
      </w:tr>
      <w:tr>
        <w:tc>
          <w:tcPr>
            <w:tcW w:type="dxa" w:w="5040"/>
            <w:shd w:val="clear" w:color="auto" w:fill="F8F9FA"/>
            <w:tcMar>
              <w:top w:w="35" w:type="dxa"/>
              <w:bottom w:w="35" w:type="dxa"/>
              <w:left w:w="80" w:type="dxa"/>
              <w:right w:w="80" w:type="dxa"/>
            </w:tcMar>
          </w:tcPr>
          <w:p>
            <w:pPr>
              <w:spacing w:after="0"/>
            </w:pPr>
            <w:r>
              <w:rPr>
                <w:rFonts w:ascii="Calibri" w:hAnsi="Calibri"/>
                <w:b/>
                <w:sz w:val="17"/>
              </w:rPr>
              <w:t>dataEF API</w:t>
            </w:r>
          </w:p>
        </w:tc>
        <w:tc>
          <w:tcPr>
            <w:tcW w:type="dxa" w:w="5040"/>
            <w:shd w:val="clear" w:color="auto" w:fill="F8F9FA"/>
            <w:tcMar>
              <w:top w:w="35" w:type="dxa"/>
              <w:bottom w:w="35" w:type="dxa"/>
              <w:left w:w="80" w:type="dxa"/>
              <w:right w:w="80" w:type="dxa"/>
            </w:tcMar>
          </w:tcPr>
          <w:p>
            <w:pPr>
              <w:spacing w:after="0"/>
            </w:pPr>
            <w:r>
              <w:rPr>
                <w:rFonts w:ascii="Calibri" w:hAnsi="Calibri"/>
                <w:sz w:val="17"/>
              </w:rPr>
              <w:t>Exchange rate</w:t>
            </w:r>
          </w:p>
        </w:tc>
      </w:tr>
      <w:tr>
        <w:tc>
          <w:tcPr>
            <w:tcW w:type="dxa" w:w="5040"/>
            <w:shd w:val="clear" w:color="auto" w:fill="FFFFFF"/>
            <w:tcMar>
              <w:top w:w="35" w:type="dxa"/>
              <w:bottom w:w="35" w:type="dxa"/>
              <w:left w:w="80" w:type="dxa"/>
              <w:right w:w="80" w:type="dxa"/>
            </w:tcMar>
          </w:tcPr>
          <w:p>
            <w:pPr>
              <w:spacing w:after="0"/>
            </w:pPr>
            <w:r>
              <w:rPr>
                <w:rFonts w:ascii="Calibri" w:hAnsi="Calibri"/>
                <w:b/>
                <w:sz w:val="17"/>
              </w:rPr>
              <w:t>Sokha, Hyatt, Bayon BKK</w:t>
            </w:r>
          </w:p>
        </w:tc>
        <w:tc>
          <w:tcPr>
            <w:tcW w:type="dxa" w:w="5040"/>
            <w:shd w:val="clear" w:color="auto" w:fill="FFFFFF"/>
            <w:tcMar>
              <w:top w:w="35" w:type="dxa"/>
              <w:bottom w:w="35" w:type="dxa"/>
              <w:left w:w="80" w:type="dxa"/>
              <w:right w:w="80" w:type="dxa"/>
            </w:tcMar>
          </w:tcPr>
          <w:p>
            <w:pPr>
              <w:spacing w:after="0"/>
            </w:pPr>
            <w:r>
              <w:rPr>
                <w:rFonts w:ascii="Calibri" w:hAnsi="Calibri"/>
                <w:sz w:val="17"/>
              </w:rPr>
              <w:t>Restaurant and hotel</w:t>
            </w:r>
          </w:p>
        </w:tc>
      </w:tr>
    </w:tbl>
    <w:p>
      <w:pPr>
        <w:spacing w:before="80" w:after="80"/>
      </w:pPr>
    </w:p>
    <w:p>
      <w:pPr>
        <w:pStyle w:val="Heading1"/>
        <w:spacing w:before="120" w:after="80"/>
      </w:pPr>
      <w:r>
        <w:t>4. Methodology</w:t>
      </w:r>
    </w:p>
    <w:p>
      <w:pPr>
        <w:pStyle w:val="Heading2"/>
      </w:pPr>
      <w:r>
        <w:t>Stage 1: Web Scraping Layer</w:t>
      </w:r>
    </w:p>
    <w:p>
      <w:pPr>
        <w:spacing w:after="40"/>
      </w:pPr>
      <w:r>
        <w:rPr>
          <w:b/>
        </w:rPr>
        <w:t xml:space="preserve">Automated Daily Collection: </w:t>
      </w:r>
      <w:r>
        <w:t>Every morning at 08:00 AM, the system automatically collects prices across 11 key stores and services in Cambodia.</w:t>
      </w:r>
    </w:p>
    <w:p>
      <w:pPr>
        <w:spacing w:before="60" w:after="40"/>
      </w:pPr>
      <w:r>
        <w:rPr>
          <w:b/>
        </w:rPr>
        <w:t>How We Collect Prices:</w:t>
      </w:r>
    </w:p>
    <w:p>
      <w:pPr>
        <w:pStyle w:val="ListBullet"/>
        <w:spacing w:before="20" w:after="40"/>
      </w:pPr>
      <w:r>
        <w:rPr>
          <w:b/>
        </w:rPr>
        <w:t xml:space="preserve">Direct Store APIs: </w:t>
      </w:r>
      <w:r>
        <w:t>Connects directly to the backend of online supermarkets (AEON, DeliShop) and apps (L192, BookMeBus) to download product lists and prices quickly without loading heavy web pages.</w:t>
      </w:r>
    </w:p>
    <w:p>
      <w:pPr>
        <w:pStyle w:val="ListBullet"/>
        <w:spacing w:before="20" w:after="40"/>
      </w:pPr>
      <w:r>
        <w:rPr>
          <w:b/>
        </w:rPr>
        <w:t xml:space="preserve">Browser Disguise (curl_cffi): </w:t>
      </w:r>
      <w:r>
        <w:t>Sends fast automated requests that look like a real Google Chrome browser so store security systems (like Cloudflare) do not block our computer.</w:t>
      </w:r>
    </w:p>
    <w:p>
      <w:pPr>
        <w:pStyle w:val="ListBullet"/>
        <w:spacing w:before="20" w:after="40"/>
      </w:pPr>
      <w:r>
        <w:rPr>
          <w:b/>
        </w:rPr>
        <w:t xml:space="preserve">Invisible Browser (Playwright): </w:t>
      </w:r>
      <w:r>
        <w:t>If a website blocks direct requests with security checks (like 403 Forbidden), the system automatically opens an invisible browser to load the page and read the prices like a real user.</w:t>
      </w:r>
    </w:p>
    <w:p>
      <w:pPr>
        <w:pStyle w:val="ListBullet"/>
        <w:spacing w:before="20" w:after="40"/>
      </w:pPr>
      <w:r>
        <w:rPr>
          <w:b/>
        </w:rPr>
        <w:t xml:space="preserve">Public Pages &amp; Feeds: </w:t>
      </w:r>
      <w:r>
        <w:t>Reads apartment rental listings from Khmer24, fuel prices from the Tela Khmer public channel (translating Khmer numbers 0-9), and official daily exchange rates from the Ministry of Economy and Finance (MEF).</w:t>
      </w:r>
    </w:p>
    <w:p>
      <w:pPr>
        <w:pStyle w:val="ListBullet"/>
        <w:spacing w:before="20" w:after="40"/>
      </w:pPr>
      <w:r>
        <w:rPr>
          <w:b/>
        </w:rPr>
        <w:t xml:space="preserve">Safety &amp; Backup Rules: </w:t>
      </w:r>
      <w:r>
        <w:t>Pauses 1 second between requests so we do not slow down store websites, and sends an alert if 0 products are found so bad data is never saved.</w:t>
      </w:r>
    </w:p>
    <w:p>
      <w:pPr>
        <w:pStyle w:val="Heading2"/>
      </w:pPr>
      <w:r>
        <w:t>Stage 2: Bronze Layer (Raw Lake Ingestion)</w:t>
      </w:r>
    </w:p>
    <w:p>
      <w:pPr>
        <w:spacing w:after="40"/>
      </w:pPr>
      <w:r>
        <w:rPr>
          <w:b/>
        </w:rPr>
        <w:t xml:space="preserve">Database Table: </w:t>
      </w:r>
      <w:r>
        <w:t>bronze.raw_prices</w:t>
      </w:r>
    </w:p>
    <w:p>
      <w:pPr>
        <w:pStyle w:val="ListBullet"/>
        <w:spacing w:before="20" w:after="40"/>
      </w:pPr>
      <w:r>
        <w:rPr>
          <w:b/>
        </w:rPr>
        <w:t xml:space="preserve">What it does: </w:t>
      </w:r>
      <w:r>
        <w:t>Acts as an immutable, append-only raw data repository preserving the exact raw data as fetched from the web.</w:t>
      </w:r>
    </w:p>
    <w:p>
      <w:pPr>
        <w:pStyle w:val="ListBullet"/>
        <w:spacing w:before="20" w:after="40"/>
      </w:pPr>
      <w:r>
        <w:rPr>
          <w:b/>
        </w:rPr>
        <w:t xml:space="preserve">Stored Fields: </w:t>
      </w:r>
      <w:r>
        <w:t>store_id, source_name, item_description_raw, price, currency, source_url, scraped_at, batch_id.</w:t>
      </w:r>
    </w:p>
    <w:p>
      <w:r>
        <w:br w:type="page"/>
      </w:r>
    </w:p>
    <w:p>
      <w:pPr>
        <w:pStyle w:val="Heading2"/>
      </w:pPr>
      <w:r>
        <w:t>Stage 3: Silver Layer (Standardization, AI Classification &amp; Quality Control)</w:t>
      </w:r>
    </w:p>
    <w:p>
      <w:pPr>
        <w:spacing w:after="40"/>
      </w:pPr>
      <w:r>
        <w:rPr>
          <w:b/>
        </w:rPr>
        <w:t xml:space="preserve">Database Table: </w:t>
      </w:r>
      <w:r>
        <w:t>silver.standardized_prices</w:t>
        <w:br/>
      </w:r>
      <w:r>
        <w:t>The Silver Layer has 3 main jobs:</w:t>
        <w:br/>
      </w:r>
      <w:r>
        <w:rPr>
          <w:b/>
          <w:color w:val="0C2C62"/>
        </w:rPr>
        <w:t>[Raw Scrape] ──► 1. Clean Data ──► 2. Match Product ──► 3. Classify Basket ──► [Clean Silver Item]</w:t>
      </w:r>
    </w:p>
    <w:p>
      <w:pPr>
        <w:pStyle w:val="Heading3"/>
      </w:pPr>
      <w:r>
        <w:t>1. Clean the Data (Standardize)</w:t>
      </w:r>
    </w:p>
    <w:p>
      <w:pPr>
        <w:pStyle w:val="ListBullet"/>
        <w:spacing w:before="20" w:after="40"/>
      </w:pPr>
      <w:r>
        <w:rPr>
          <w:b/>
        </w:rPr>
        <w:t xml:space="preserve">Removes noise: </w:t>
      </w:r>
      <w:r>
        <w:t>Deletes marketing words (SALE, HOT DEAL, 50% OFF) and old price tags.</w:t>
      </w:r>
    </w:p>
    <w:p>
      <w:pPr>
        <w:pStyle w:val="ListBullet"/>
        <w:spacing w:before="20" w:after="40"/>
      </w:pPr>
      <w:r>
        <w:rPr>
          <w:b/>
        </w:rPr>
        <w:t xml:space="preserve">Normalizes units: </w:t>
      </w:r>
      <w:r>
        <w:t>Converts volumes and weights into standard sizes (500ml, 1kg) to calculate price per liter/kg.</w:t>
      </w:r>
    </w:p>
    <w:p>
      <w:pPr>
        <w:pStyle w:val="ListBullet"/>
        <w:spacing w:before="20" w:after="40"/>
      </w:pPr>
      <w:r>
        <w:rPr>
          <w:b/>
        </w:rPr>
        <w:t xml:space="preserve">Handles dual currency: </w:t>
      </w:r>
      <w:r>
        <w:t>Converts USD and Khmer Riel using the daily MEF exchange rate.</w:t>
      </w:r>
    </w:p>
    <w:p>
      <w:pPr>
        <w:pStyle w:val="ListBullet"/>
        <w:spacing w:before="20" w:after="40"/>
      </w:pPr>
      <w:r>
        <w:rPr>
          <w:b/>
        </w:rPr>
        <w:t xml:space="preserve">Fixes Khmer text: </w:t>
      </w:r>
      <w:r>
        <w:t>Segments unspaced Khmer words and translates digits (០-៩ → 0-9).</w:t>
      </w:r>
    </w:p>
    <w:p>
      <w:pPr>
        <w:pStyle w:val="Heading3"/>
      </w:pPr>
      <w:r>
        <w:t>2. Match the Product (Find the Same Item)</w:t>
      </w:r>
    </w:p>
    <w:p>
      <w:r>
        <w:t>Connects identical products across different stores (e.g., AEON vs. DeliShop) using a 5-step waterfall:</w:t>
      </w:r>
    </w:p>
    <w:p>
      <w:pPr>
        <w:pStyle w:val="ListBullet"/>
        <w:spacing w:before="20" w:after="40"/>
      </w:pPr>
      <w:r>
        <w:rPr>
          <w:b/>
        </w:rPr>
        <w:t xml:space="preserve">Barcode (GTIN): </w:t>
      </w:r>
      <w:r>
        <w:t>Exact match.</w:t>
      </w:r>
    </w:p>
    <w:p>
      <w:pPr>
        <w:pStyle w:val="ListBullet"/>
        <w:spacing w:before="20" w:after="40"/>
      </w:pPr>
      <w:r>
        <w:rPr>
          <w:b/>
        </w:rPr>
        <w:t xml:space="preserve">Store SKU: </w:t>
      </w:r>
      <w:r>
        <w:t>Match with past days' catalog.</w:t>
      </w:r>
    </w:p>
    <w:p>
      <w:pPr>
        <w:pStyle w:val="ListBullet"/>
        <w:spacing w:before="20" w:after="40"/>
      </w:pPr>
      <w:r>
        <w:rPr>
          <w:b/>
        </w:rPr>
        <w:t xml:space="preserve">Clean Name &amp; Size: </w:t>
      </w:r>
      <w:r>
        <w:t>Exact text match with size protection (prevents 330ml matching 1.5L).</w:t>
      </w:r>
    </w:p>
    <w:p>
      <w:pPr>
        <w:pStyle w:val="ListBullet"/>
        <w:spacing w:before="20" w:after="40"/>
      </w:pPr>
      <w:r>
        <w:rPr>
          <w:b/>
        </w:rPr>
        <w:t xml:space="preserve">AI Vector (pgvector): </w:t>
      </w:r>
      <w:r>
        <w:t>Matches English and Khmer equivalents (≥95% similarity).</w:t>
      </w:r>
    </w:p>
    <w:p>
      <w:pPr>
        <w:pStyle w:val="ListBullet"/>
        <w:spacing w:before="20" w:after="40"/>
      </w:pPr>
      <w:r>
        <w:rPr>
          <w:b/>
        </w:rPr>
        <w:t xml:space="preserve">Fuzzy Spelling: </w:t>
      </w:r>
      <w:r>
        <w:t>Catches small typos.</w:t>
      </w:r>
    </w:p>
    <w:p>
      <w:pPr>
        <w:pStyle w:val="Heading3"/>
      </w:pPr>
      <w:r>
        <w:t>3. Classify into Official Baskets (UN COICOP)</w:t>
      </w:r>
    </w:p>
    <w:p>
      <w:pPr>
        <w:pStyle w:val="ListBullet"/>
        <w:spacing w:before="20" w:after="40"/>
      </w:pPr>
      <w:r>
        <w:t>Uses Google Gemini AI in batches to assign the official 4-digit government code (e.g., 01.1.1 for Rice/Bread).</w:t>
      </w:r>
    </w:p>
    <w:p>
      <w:pPr>
        <w:spacing w:before="40" w:after="40"/>
      </w:pPr>
      <w:r>
        <w:rPr>
          <w:b/>
        </w:rPr>
        <w:t>Strict Guardrails prevent AI mistakes:</w:t>
      </w:r>
    </w:p>
    <w:p>
      <w:pPr>
        <w:pStyle w:val="ListBullet"/>
        <w:spacing w:before="20" w:after="40"/>
      </w:pPr>
      <w:r>
        <w:rPr>
          <w:b/>
        </w:rPr>
        <w:t xml:space="preserve">Pet Food: </w:t>
      </w:r>
      <w:r>
        <w:t>Goes to Pets (09.3.1), never human food.</w:t>
      </w:r>
    </w:p>
    <w:p>
      <w:pPr>
        <w:pStyle w:val="ListBullet"/>
        <w:spacing w:before="20" w:after="40"/>
      </w:pPr>
      <w:r>
        <w:rPr>
          <w:b/>
        </w:rPr>
        <w:t xml:space="preserve">Shampoo / Soap: </w:t>
      </w:r>
      <w:r>
        <w:t>Goes to Personal Care (12.1.3), never food.</w:t>
      </w:r>
    </w:p>
    <w:p>
      <w:pPr>
        <w:pStyle w:val="ListBullet"/>
        <w:spacing w:before="20" w:after="40"/>
      </w:pPr>
      <w:r>
        <w:rPr>
          <w:b/>
        </w:rPr>
        <w:t xml:space="preserve">Beer / Wine: </w:t>
      </w:r>
      <w:r>
        <w:t>Goes to Alcohol (02.1), isolated from soft drinks.</w:t>
      </w:r>
    </w:p>
    <w:p>
      <w:r>
        <w:br w:type="page"/>
      </w:r>
    </w:p>
    <w:p>
      <w:pPr>
        <w:pStyle w:val="Heading2"/>
      </w:pPr>
      <w:r>
        <w:t>The Gold Layer in Brief: From Clean Products to Official CPI</w:t>
      </w:r>
    </w:p>
    <w:p>
      <w:pPr>
        <w:spacing w:after="60"/>
      </w:pPr>
      <w:r>
        <w:t>The Gold Layer applies official international standards (ILO / UN guidelines) to turn thousands of clean daily prices into national economic indicators.</w:t>
        <w:br/>
      </w:r>
      <w:r>
        <w:t>It does this in 3 main steps:</w:t>
        <w:br/>
      </w:r>
      <w:r>
        <w:rPr>
          <w:b/>
          <w:color w:val="0C2C62"/>
        </w:rPr>
        <w:t>[Clean Silver Items] ──► 1. Jevons Index ──► 2. Laspeyres Aggregation ──► 3. Core CPI &amp; Marts</w:t>
      </w:r>
    </w:p>
    <w:p>
      <w:pPr>
        <w:pStyle w:val="Heading3"/>
      </w:pPr>
      <w:r>
        <w:t>1. Elementary Index Calculation (Jevons Formula)</w:t>
      </w:r>
    </w:p>
    <w:p>
      <w:pPr>
        <w:pStyle w:val="ListBullet"/>
        <w:spacing w:before="20" w:after="40"/>
      </w:pPr>
      <w:r>
        <w:rPr>
          <w:b/>
        </w:rPr>
        <w:t xml:space="preserve">(Jevons Geometric Mean): </w:t>
      </w:r>
      <w:r>
        <w:t>Instead of a simple average (which gets distorted by expensive luxury items), the system uses the geometric mean:</w:t>
        <w:br/>
      </w:r>
      <w:r>
        <w:rPr>
          <w:b/>
          <w:color w:val="146E78"/>
        </w:rPr>
        <w:t>I_rice,t = ( (P_1,t / P_1,0) × (P_2,t / P_2,0) × ... × (P_n,t / P_n,0) )^(1/n)</w:t>
      </w:r>
    </w:p>
    <w:p>
      <w:pPr>
        <w:pStyle w:val="ListBullet"/>
        <w:spacing w:before="20" w:after="40"/>
      </w:pPr>
      <w:r>
        <w:rPr>
          <w:b/>
        </w:rPr>
        <w:t xml:space="preserve">Missing Price Imputation: </w:t>
      </w:r>
      <w:r>
        <w:t>If an item is temporarily out-of-stock, a 7-day carry-forward rule fills in the price so the index doesn't jump wildly.</w:t>
      </w:r>
    </w:p>
    <w:p>
      <w:pPr>
        <w:pStyle w:val="Heading3"/>
      </w:pPr>
      <w:r>
        <w:t>2. Official National Aggregation (Laspeyres Formula)</w:t>
      </w:r>
    </w:p>
    <w:p>
      <w:r>
        <w:t>Cambodians spend more money on food than on furniture. To reflect real life, the 12 COICOP divisions are combined using official government survey expenditure weights (CSES 2020):</w:t>
      </w:r>
    </w:p>
    <w:p>
      <w:pPr>
        <w:spacing w:before="20" w:after="40"/>
      </w:pPr>
      <w:r>
        <w:rPr>
          <w:b/>
          <w:color w:val="146E78"/>
        </w:rPr>
        <w:t>Headline CPI = ∑ ( Weight × Division Index )</w:t>
      </w:r>
    </w:p>
    <w:p>
      <w:pPr>
        <w:pStyle w:val="ListBullet"/>
        <w:spacing w:before="20" w:after="40"/>
      </w:pPr>
      <w:r>
        <w:rPr>
          <w:b/>
        </w:rPr>
        <w:t xml:space="preserve">Food &amp; Drinks (01): </w:t>
      </w:r>
      <w:r>
        <w:t>44.775% (Highest weight in Cambodia)</w:t>
      </w:r>
    </w:p>
    <w:p>
      <w:pPr>
        <w:pStyle w:val="ListBullet"/>
        <w:spacing w:before="20" w:after="40"/>
      </w:pPr>
      <w:r>
        <w:rPr>
          <w:b/>
        </w:rPr>
        <w:t xml:space="preserve">Housing &amp; Electricity (04): </w:t>
      </w:r>
      <w:r>
        <w:t>17.062%</w:t>
      </w:r>
    </w:p>
    <w:p>
      <w:pPr>
        <w:pStyle w:val="ListBullet"/>
        <w:spacing w:before="20" w:after="40"/>
      </w:pPr>
      <w:r>
        <w:rPr>
          <w:b/>
        </w:rPr>
        <w:t xml:space="preserve">Transport &amp; Fuel (07): </w:t>
      </w:r>
      <w:r>
        <w:t>12.203%</w:t>
      </w:r>
    </w:p>
    <w:p>
      <w:pPr>
        <w:pStyle w:val="ListBullet"/>
        <w:spacing w:before="20" w:after="40"/>
      </w:pPr>
      <w:r>
        <w:rPr>
          <w:b/>
        </w:rPr>
        <w:t xml:space="preserve">All other 9 Divisions: </w:t>
      </w:r>
      <w:r>
        <w:t>Remaining 25.960% (Clothing, Health, Telecom, etc.)</w:t>
      </w:r>
    </w:p>
    <w:p>
      <w:pPr>
        <w:pStyle w:val="Heading3"/>
      </w:pPr>
      <w:r>
        <w:t>3. Central Bank Metric: Core CPI</w:t>
      </w:r>
    </w:p>
    <w:p>
      <w:r>
        <w:t>For central bankers at the National Bank of Cambodia (NBC), temporary global oil spikes or seasonal vegetable floods distort the real picture:</w:t>
      </w:r>
    </w:p>
    <w:p>
      <w:pPr>
        <w:pStyle w:val="ListBullet"/>
        <w:spacing w:before="20" w:after="40"/>
      </w:pPr>
      <w:r>
        <w:rPr>
          <w:b/>
        </w:rPr>
        <w:t xml:space="preserve">Refined Core CPI: </w:t>
      </w:r>
      <w:r>
        <w:t>The system calculates a second official index that removes Food (01) and Energy (04):</w:t>
        <w:br/>
      </w:r>
      <w:r>
        <w:rPr>
          <w:b/>
          <w:color w:val="146E78"/>
        </w:rPr>
        <w:t>Core CPI = ( ∑_{ex-Food, ex-Energy} w_j · I_j ) / ( ∑ w_j )</w:t>
        <w:br/>
      </w:r>
      <w:r>
        <w:t>This shows the underlying, long-term price stability of the economy.</w:t>
      </w:r>
    </w:p>
    <w:p>
      <w:pPr>
        <w:pStyle w:val="Heading2"/>
      </w:pPr>
      <w:r>
        <w:t>Stage 4: Nowcasting</w:t>
      </w:r>
    </w:p>
    <w:p>
      <w:pPr>
        <w:spacing w:after="40"/>
      </w:pPr>
      <w:r>
        <w:rPr>
          <w:b/>
        </w:rPr>
        <w:t xml:space="preserve">Methodology (Two-Tier Hybrid Approach): </w:t>
      </w:r>
      <w:r>
        <w:t>Rather than using a black-box AI model, we use a hybrid economic approach:</w:t>
      </w:r>
    </w:p>
    <w:p>
      <w:pPr>
        <w:pStyle w:val="ListBullet"/>
        <w:spacing w:before="20" w:after="40"/>
      </w:pPr>
      <w:r>
        <w:rPr>
          <w:b/>
        </w:rPr>
        <w:t xml:space="preserve">Tier 1 (Official Aggregation): </w:t>
      </w:r>
      <w:r>
        <w:t>We use fixed CSES expenditure weights across all 12 COICOP divisions following official NIS/ILO Laspeyres standards. We calculate both Headline CPI and Core CPI (excluding volatile food and energy).</w:t>
      </w:r>
    </w:p>
    <w:p>
      <w:pPr>
        <w:pStyle w:val="ListBullet"/>
        <w:spacing w:before="20" w:after="40"/>
      </w:pPr>
      <w:r>
        <w:rPr>
          <w:b/>
        </w:rPr>
        <w:t xml:space="preserve">Tier 2 (Forward Econometric Projection): </w:t>
      </w:r>
      <w:r>
        <w:t>For past observed days, we compute the realized daily average from scraped prices. For the unobserved remaining days of the month, we nowcast daily drift rates using regularized Ridge Regression (RidgeCV) with Bayesian prior shrinkage.</w:t>
      </w:r>
    </w:p>
    <w:p>
      <w:pPr>
        <w:pStyle w:val="ListBullet"/>
        <w:spacing w:before="20" w:after="40"/>
      </w:pPr>
      <w:r>
        <w:rPr>
          <w:b/>
        </w:rPr>
        <w:t xml:space="preserve">Blending: </w:t>
      </w:r>
      <w:r>
        <w:t>We combine realized days and projected days using a time-weighted formula that smoothly converges onto actual data as the month ends.</w:t>
      </w:r>
    </w:p>
    <w:p>
      <w:pPr>
        <w:spacing w:before="120" w:after="40"/>
        <w:jc w:val="center"/>
      </w:pPr>
      <w:r>
        <w:drawing>
          <wp:inline xmlns:a="http://schemas.openxmlformats.org/drawingml/2006/main" xmlns:pic="http://schemas.openxmlformats.org/drawingml/2006/picture">
            <wp:extent cx="5303520" cy="3748145"/>
            <wp:docPr id="2" name="Picture 2"/>
            <wp:cNvGraphicFramePr>
              <a:graphicFrameLocks noChangeAspect="1"/>
            </wp:cNvGraphicFramePr>
            <a:graphic>
              <a:graphicData uri="http://schemas.openxmlformats.org/drawingml/2006/picture">
                <pic:pic>
                  <pic:nvPicPr>
                    <pic:cNvPr id="0" name="nowcasting_flowchart.png"/>
                    <pic:cNvPicPr/>
                  </pic:nvPicPr>
                  <pic:blipFill>
                    <a:blip r:embed="rId12"/>
                    <a:stretch>
                      <a:fillRect/>
                    </a:stretch>
                  </pic:blipFill>
                  <pic:spPr>
                    <a:xfrm>
                      <a:off x="0" y="0"/>
                      <a:ext cx="5303520" cy="3748145"/>
                    </a:xfrm>
                    <a:prstGeom prst="rect"/>
                  </pic:spPr>
                </pic:pic>
              </a:graphicData>
            </a:graphic>
          </wp:inline>
        </w:drawing>
      </w:r>
    </w:p>
    <w:p>
      <w:pPr>
        <w:spacing w:before="20" w:after="120"/>
        <w:jc w:val="center"/>
      </w:pPr>
      <w:r>
        <w:rPr>
          <w:rFonts w:ascii="Calibri" w:hAnsi="Calibri"/>
          <w:i/>
          <w:color w:val="646464"/>
          <w:sz w:val="17"/>
        </w:rPr>
        <w:t>Figure 2: Architecture Flowchart of the Two-Tier Inflation Nowcasting Engine</w:t>
      </w:r>
    </w:p>
    <w:p>
      <w:pPr>
        <w:spacing w:before="80" w:after="40"/>
      </w:pPr>
      <w:r>
        <w:rPr>
          <w:b/>
        </w:rPr>
        <w:t>Cambodia-Specific Market Features:</w:t>
      </w:r>
    </w:p>
    <w:p>
      <w:pPr>
        <w:pStyle w:val="ListBullet"/>
        <w:spacing w:before="20" w:after="40"/>
      </w:pPr>
      <w:r>
        <w:rPr>
          <w:b/>
        </w:rPr>
        <w:t xml:space="preserve">5 Core Baskets: </w:t>
      </w:r>
      <w:r>
        <w:t>We model the 5 high-velocity categories (~81.6% of Cambodia's basket): Food (44.8%), Housing/Utilities (17.1%), Transport (12.2%), Restaurants (3.1%), and Alcohol (1.6%).</w:t>
      </w:r>
    </w:p>
    <w:p>
      <w:pPr>
        <w:pStyle w:val="ListBullet"/>
        <w:spacing w:before="20" w:after="40"/>
      </w:pPr>
      <w:r>
        <w:rPr>
          <w:b/>
        </w:rPr>
        <w:t xml:space="preserve">Freight Spillover: </w:t>
      </w:r>
      <w:r>
        <w:t>Fuel price momentum (Transport) is selectively fed into Food and Restaurant catering to model logistics cost pass-through.</w:t>
      </w:r>
    </w:p>
    <w:p>
      <w:pPr>
        <w:pStyle w:val="ListBullet"/>
        <w:spacing w:before="20" w:after="40"/>
      </w:pPr>
      <w:r>
        <w:rPr>
          <w:b/>
        </w:rPr>
        <w:t xml:space="preserve">Holiday Handling: </w:t>
      </w:r>
      <w:r>
        <w:t>We built an exponential decay kernel for Khmer holidays (Khmer New Year, Pchum Ben, Water Festival) so temporary ceremonial spikes are not misread as permanent inflation.</w:t>
      </w:r>
    </w:p>
    <w:p>
      <w:pPr>
        <w:pStyle w:val="ListBullet"/>
        <w:spacing w:before="20" w:after="40"/>
      </w:pPr>
      <w:r>
        <w:rPr>
          <w:b/>
        </w:rPr>
        <w:t xml:space="preserve">FX Pass-Through: </w:t>
      </w:r>
      <w:r>
        <w:t>Ingests daily USD/KHR commercial exchange rates.</w:t>
      </w:r>
    </w:p>
    <w:p>
      <w:pPr>
        <w:spacing w:before="120" w:after="40"/>
        <w:jc w:val="center"/>
      </w:pPr>
      <w:r>
        <w:drawing>
          <wp:inline xmlns:a="http://schemas.openxmlformats.org/drawingml/2006/main" xmlns:pic="http://schemas.openxmlformats.org/drawingml/2006/picture">
            <wp:extent cx="5120640" cy="2680450"/>
            <wp:docPr id="3" name="Picture 3"/>
            <wp:cNvGraphicFramePr>
              <a:graphicFrameLocks noChangeAspect="1"/>
            </wp:cNvGraphicFramePr>
            <a:graphic>
              <a:graphicData uri="http://schemas.openxmlformats.org/drawingml/2006/picture">
                <pic:pic>
                  <pic:nvPicPr>
                    <pic:cNvPr id="0" name="cpi_nowcasting_convergence.png"/>
                    <pic:cNvPicPr/>
                  </pic:nvPicPr>
                  <pic:blipFill>
                    <a:blip r:embed="rId13"/>
                    <a:stretch>
                      <a:fillRect/>
                    </a:stretch>
                  </pic:blipFill>
                  <pic:spPr>
                    <a:xfrm>
                      <a:off x="0" y="0"/>
                      <a:ext cx="5120640" cy="2680450"/>
                    </a:xfrm>
                    <a:prstGeom prst="rect"/>
                  </pic:spPr>
                </pic:pic>
              </a:graphicData>
            </a:graphic>
          </wp:inline>
        </w:drawing>
      </w:r>
    </w:p>
    <w:p>
      <w:pPr>
        <w:spacing w:before="20" w:after="120"/>
        <w:jc w:val="center"/>
      </w:pPr>
      <w:r>
        <w:rPr>
          <w:rFonts w:ascii="Calibri" w:hAnsi="Calibri"/>
          <w:i/>
          <w:color w:val="646464"/>
          <w:sz w:val="17"/>
        </w:rPr>
        <w:t>Figure 3: Intra-Month Nowcasting Convergence with Monotonically Decaying Error Bounds</w:t>
      </w:r>
    </w:p>
    <w:p>
      <w:pPr>
        <w:pStyle w:val="Heading1"/>
        <w:spacing w:before="200" w:after="80"/>
      </w:pPr>
      <w:r>
        <w:t>5. Decision-Support Metabase Dashboards &amp; Monitoring</w:t>
      </w:r>
    </w:p>
    <w:p>
      <w:r>
        <w:t>To provide actionable macroeconomic intelligence and continuous pipeline observability, the system implements three dedicated production dashboards in Metabase (running in Docker containers):</w:t>
      </w:r>
    </w:p>
    <w:p>
      <w:pPr>
        <w:pStyle w:val="Heading2"/>
      </w:pPr>
      <w:r>
        <w:t>Dashboard 1: Macro CPI &amp; Inflation Analytics</w:t>
      </w:r>
    </w:p>
    <w:p>
      <w:pPr>
        <w:spacing w:before="20" w:after="80"/>
      </w:pPr>
      <w:r>
        <w:t>Shows daily Headline CPI and Core CPI (which removes volatile food and fuel prices), monthly inflation rates, and price changes across all 12 consumption categories compared against official government reports.</w:t>
      </w:r>
    </w:p>
    <w:p>
      <w:pPr>
        <w:spacing w:before="80" w:after="40"/>
        <w:jc w:val="center"/>
      </w:pPr>
      <w:r>
        <w:drawing>
          <wp:inline xmlns:a="http://schemas.openxmlformats.org/drawingml/2006/main" xmlns:pic="http://schemas.openxmlformats.org/drawingml/2006/picture">
            <wp:extent cx="5303520" cy="2327196"/>
            <wp:docPr id="4" name="Picture 4"/>
            <wp:cNvGraphicFramePr>
              <a:graphicFrameLocks noChangeAspect="1"/>
            </wp:cNvGraphicFramePr>
            <a:graphic>
              <a:graphicData uri="http://schemas.openxmlformats.org/drawingml/2006/picture">
                <pic:pic>
                  <pic:nvPicPr>
                    <pic:cNvPr id="0" name="dashboard_97_macro_cpi.png"/>
                    <pic:cNvPicPr/>
                  </pic:nvPicPr>
                  <pic:blipFill>
                    <a:blip r:embed="rId14"/>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4: Metabase Dashboard 1 — Real-Time Macro CPI &amp; Inflation Analytics</w:t>
      </w:r>
    </w:p>
    <w:p>
      <w:pPr>
        <w:pStyle w:val="Heading2"/>
      </w:pPr>
      <w:r>
        <w:t>Dashboard 2: Operations &amp; Data Source Telemetry</w:t>
      </w:r>
    </w:p>
    <w:p>
      <w:pPr>
        <w:spacing w:before="20" w:after="80"/>
      </w:pPr>
      <w:r>
        <w:t>Tracks the daily health of our scrapers across all 11 sources. It shows how many product prices were collected each day, scraping speed, and website connection status.</w:t>
      </w:r>
    </w:p>
    <w:p>
      <w:pPr>
        <w:spacing w:before="80" w:after="40"/>
        <w:jc w:val="center"/>
      </w:pPr>
      <w:r>
        <w:drawing>
          <wp:inline xmlns:a="http://schemas.openxmlformats.org/drawingml/2006/main" xmlns:pic="http://schemas.openxmlformats.org/drawingml/2006/picture">
            <wp:extent cx="5303520" cy="2327196"/>
            <wp:docPr id="5" name="Picture 5"/>
            <wp:cNvGraphicFramePr>
              <a:graphicFrameLocks noChangeAspect="1"/>
            </wp:cNvGraphicFramePr>
            <a:graphic>
              <a:graphicData uri="http://schemas.openxmlformats.org/drawingml/2006/picture">
                <pic:pic>
                  <pic:nvPicPr>
                    <pic:cNvPr id="0" name="dashboard_98_telemetry.png"/>
                    <pic:cNvPicPr/>
                  </pic:nvPicPr>
                  <pic:blipFill>
                    <a:blip r:embed="rId15"/>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5: Metabase Dashboard 2 — Data Lake Operations &amp; Scraping Telemetry</w:t>
      </w:r>
    </w:p>
    <w:p>
      <w:pPr>
        <w:pStyle w:val="Heading2"/>
      </w:pPr>
      <w:r>
        <w:t>Dashboard 3: Silver Layer Data Quality Screener</w:t>
      </w:r>
    </w:p>
    <w:p>
      <w:pPr>
        <w:spacing w:before="20" w:after="80"/>
      </w:pPr>
      <w:r>
        <w:t>Checks the cleanliness of our data every day. It tracks product size standardization (converting items to 1kg or 1L), USD to Khmer Riel currency conversion, product matching across stores, and AI classification accuracy.</w:t>
      </w:r>
    </w:p>
    <w:p>
      <w:pPr>
        <w:spacing w:before="80" w:after="40"/>
        <w:jc w:val="center"/>
      </w:pPr>
      <w:r>
        <w:drawing>
          <wp:inline xmlns:a="http://schemas.openxmlformats.org/drawingml/2006/main" xmlns:pic="http://schemas.openxmlformats.org/drawingml/2006/picture">
            <wp:extent cx="5303520" cy="2327196"/>
            <wp:docPr id="6" name="Picture 6"/>
            <wp:cNvGraphicFramePr>
              <a:graphicFrameLocks noChangeAspect="1"/>
            </wp:cNvGraphicFramePr>
            <a:graphic>
              <a:graphicData uri="http://schemas.openxmlformats.org/drawingml/2006/picture">
                <pic:pic>
                  <pic:nvPicPr>
                    <pic:cNvPr id="0" name="dashboard_99_silver_quality.png"/>
                    <pic:cNvPicPr/>
                  </pic:nvPicPr>
                  <pic:blipFill>
                    <a:blip r:embed="rId16"/>
                    <a:stretch>
                      <a:fillRect/>
                    </a:stretch>
                  </pic:blipFill>
                  <pic:spPr>
                    <a:xfrm>
                      <a:off x="0" y="0"/>
                      <a:ext cx="5303520" cy="2327196"/>
                    </a:xfrm>
                    <a:prstGeom prst="rect"/>
                  </pic:spPr>
                </pic:pic>
              </a:graphicData>
            </a:graphic>
          </wp:inline>
        </w:drawing>
      </w:r>
    </w:p>
    <w:p>
      <w:pPr>
        <w:spacing w:before="20" w:after="120"/>
        <w:jc w:val="center"/>
      </w:pPr>
      <w:r>
        <w:rPr>
          <w:rFonts w:ascii="Calibri" w:hAnsi="Calibri"/>
          <w:i/>
          <w:color w:val="646464"/>
          <w:sz w:val="17"/>
        </w:rPr>
        <w:t>Figure 6: Metabase Dashboard 3 — Silver Layer Data Quality &amp; Classification Screener</w:t>
      </w:r>
    </w:p>
    <w:sectPr w:rsidR="00FC693F" w:rsidRPr="0006063C" w:rsidSect="00034616">
      <w:headerReference w:type="default" r:id="rId9"/>
      <w:foot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787878"/>
        <w:sz w:val="17"/>
      </w:rPr>
      <w:t>Author: TAING Korngmeng | GDDE / MEF &amp; ITC</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787878"/>
        <w:sz w:val="17"/>
      </w:rPr>
      <w:t>Project Progress · Nowcasting Inflation via Daily Web Scraping Price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