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8A752E5" w14:textId="574428E2" w:rsidR="00E20F7C" w:rsidRPr="00E20F7C" w:rsidRDefault="00E20F7C" w:rsidP="0010269D">
      <w:pPr>
        <w:pStyle w:val="article-fullchapo"/>
        <w:pBdr>
          <w:top w:val="single" w:sz="24" w:space="1" w:color="4472C4" w:themeColor="accent1" w:shadow="1"/>
          <w:left w:val="single" w:sz="24" w:space="4" w:color="4472C4" w:themeColor="accent1" w:shadow="1"/>
          <w:bottom w:val="single" w:sz="24" w:space="1" w:color="4472C4" w:themeColor="accent1" w:shadow="1"/>
          <w:right w:val="single" w:sz="24" w:space="4" w:color="4472C4" w:themeColor="accent1" w:shadow="1"/>
        </w:pBdr>
        <w:shd w:val="clear" w:color="auto" w:fill="E3C900"/>
        <w:spacing w:before="0" w:beforeAutospacing="0" w:after="0" w:afterAutospacing="0"/>
        <w:jc w:val="center"/>
        <w:rPr>
          <w:rFonts w:ascii="Bernard MT Condensed" w:hAnsi="Bernard MT Condensed" w:cs="Open Sans"/>
          <w:color w:val="4472C4" w:themeColor="accent1"/>
          <w:sz w:val="32"/>
          <w:szCs w:val="32"/>
        </w:rPr>
      </w:pPr>
      <w:r w:rsidRPr="00E20F7C">
        <w:rPr>
          <w:rFonts w:ascii="Bernard MT Condensed" w:hAnsi="Bernard MT Condensed" w:cs="Open Sans"/>
          <w:color w:val="4472C4" w:themeColor="accent1"/>
          <w:sz w:val="32"/>
          <w:szCs w:val="32"/>
        </w:rPr>
        <w:t>PRIX DES CARBURANTS A TOULOUSE</w:t>
      </w:r>
    </w:p>
    <w:p w14:paraId="21491724" w14:textId="741299E8" w:rsidR="00E20F7C" w:rsidRPr="0010269D" w:rsidRDefault="00E20F7C" w:rsidP="0010269D">
      <w:pPr>
        <w:ind w:left="454" w:firstLine="254"/>
        <w:rPr>
          <w:rFonts w:cstheme="minorHAnsi"/>
          <w:color w:val="4472C4" w:themeColor="accent1"/>
        </w:rPr>
      </w:pPr>
      <w:r w:rsidRPr="0010269D">
        <w:rPr>
          <w:rFonts w:cstheme="minorHAnsi"/>
          <w:color w:val="4472C4" w:themeColor="accent1"/>
        </w:rPr>
        <w:t xml:space="preserve">La grève se poursuit ce lundi en France dans plusieurs raffineries et dépôts de carburant de </w:t>
      </w:r>
      <w:proofErr w:type="spellStart"/>
      <w:r w:rsidRPr="0010269D">
        <w:rPr>
          <w:rFonts w:cstheme="minorHAnsi"/>
          <w:color w:val="4472C4" w:themeColor="accent1"/>
        </w:rPr>
        <w:t>TotalEnergies</w:t>
      </w:r>
      <w:proofErr w:type="spellEnd"/>
      <w:r w:rsidRPr="0010269D">
        <w:rPr>
          <w:rFonts w:cstheme="minorHAnsi"/>
          <w:color w:val="4472C4" w:themeColor="accent1"/>
        </w:rPr>
        <w:t xml:space="preserve"> et Esso, filiale d'ExxonMobil, ont déclaré deux responsables de la CGT, alors que de plus en plus de stations-service souffrent de pénuries, provoquant de longues files d'attente d'automobilistes.</w:t>
      </w:r>
    </w:p>
    <w:p w14:paraId="0F0CD1DC" w14:textId="06390B9E" w:rsidR="00E20F7C" w:rsidRDefault="00E20F7C" w:rsidP="0010269D">
      <w:pPr>
        <w:ind w:left="454" w:firstLine="254"/>
        <w:rPr>
          <w:rFonts w:cstheme="minorHAnsi"/>
          <w:color w:val="4472C4" w:themeColor="accent1"/>
        </w:rPr>
      </w:pPr>
      <w:r w:rsidRPr="0010269D">
        <w:rPr>
          <w:rFonts w:cstheme="minorHAnsi"/>
          <w:color w:val="4472C4" w:themeColor="accent1"/>
        </w:rPr>
        <w:t>L</w:t>
      </w:r>
      <w:r w:rsidRPr="0010269D">
        <w:rPr>
          <w:rFonts w:cstheme="minorHAnsi"/>
          <w:color w:val="4472C4" w:themeColor="accent1"/>
        </w:rPr>
        <w:t>es salariés des sites concernés ont reconduit leur mouvement de grève, long déjà de plus d'une dizaine de jours, pour réclamer des augmentations salariales.</w:t>
      </w:r>
    </w:p>
    <w:p w14:paraId="557F584E" w14:textId="67C4FC54" w:rsidR="006C7B7D" w:rsidRPr="0010269D" w:rsidRDefault="006C7B7D" w:rsidP="0010269D">
      <w:pPr>
        <w:ind w:left="454" w:firstLine="254"/>
        <w:rPr>
          <w:rFonts w:cstheme="minorHAnsi"/>
          <w:color w:val="4472C4" w:themeColor="accent1"/>
        </w:rPr>
      </w:pPr>
      <w:r w:rsidRPr="006C7B7D">
        <w:rPr>
          <w:rFonts w:cstheme="minorHAnsi"/>
          <w:color w:val="4472C4" w:themeColor="accent1"/>
        </w:rPr>
        <w:t xml:space="preserve">Dimanche, la direction de </w:t>
      </w:r>
      <w:proofErr w:type="spellStart"/>
      <w:r w:rsidRPr="006C7B7D">
        <w:rPr>
          <w:rFonts w:cstheme="minorHAnsi"/>
          <w:color w:val="4472C4" w:themeColor="accent1"/>
        </w:rPr>
        <w:t>TotalEnergies</w:t>
      </w:r>
      <w:proofErr w:type="spellEnd"/>
      <w:r w:rsidRPr="006C7B7D">
        <w:rPr>
          <w:rFonts w:cstheme="minorHAnsi"/>
          <w:color w:val="4472C4" w:themeColor="accent1"/>
        </w:rPr>
        <w:t xml:space="preserve"> a proposé d'avancer à octobre les négociations prévues en novembre en posant comme condition la levée des piquets de grève.</w:t>
      </w:r>
    </w:p>
    <w:p w14:paraId="32E9D501" w14:textId="6F686E34" w:rsidR="00E20F7C" w:rsidRPr="0010269D" w:rsidRDefault="00E20F7C" w:rsidP="0010269D">
      <w:pPr>
        <w:ind w:left="454" w:firstLine="254"/>
        <w:rPr>
          <w:rFonts w:cstheme="minorHAnsi"/>
          <w:color w:val="4472C4" w:themeColor="accent1"/>
        </w:rPr>
      </w:pPr>
      <w:r w:rsidRPr="0010269D">
        <w:rPr>
          <w:rFonts w:cstheme="minorHAnsi"/>
          <w:color w:val="4472C4" w:themeColor="accent1"/>
        </w:rPr>
        <w:t>La CGT a dit à Reuters qu'elle consulterait les salariés sur cette proposition pour décider de la suite du mouvement.</w:t>
      </w:r>
    </w:p>
    <w:p w14:paraId="484F7675" w14:textId="2FE51911" w:rsidR="0010269D" w:rsidRDefault="00E20F7C" w:rsidP="0010269D">
      <w:pPr>
        <w:ind w:left="454" w:firstLine="254"/>
        <w:rPr>
          <w:rFonts w:cstheme="minorHAnsi"/>
          <w:color w:val="4472C4" w:themeColor="accent1"/>
        </w:rPr>
      </w:pPr>
      <w:r w:rsidRPr="0010269D">
        <w:rPr>
          <w:rFonts w:cstheme="minorHAnsi"/>
          <w:color w:val="4472C4" w:themeColor="accent1"/>
        </w:rPr>
        <w:t>Elle réclame une augmentation de 10% des salaires, dont 7% pour faire face à l'augmentation du coût de la vie et 3% au titre des bénéfices exceptionnels engrangés par l'entreprise cette année avec l'explosion du prix de l'énergie</w:t>
      </w:r>
      <w:r w:rsidRPr="0010269D">
        <w:rPr>
          <w:rFonts w:cstheme="minorHAnsi"/>
          <w:color w:val="4472C4" w:themeColor="accent1"/>
        </w:rPr>
        <w:t>.</w:t>
      </w:r>
    </w:p>
    <w:p w14:paraId="02FF7639" w14:textId="1D672267" w:rsidR="006C2FE2" w:rsidRDefault="006C2FE2" w:rsidP="0010269D">
      <w:pPr>
        <w:ind w:left="454" w:firstLine="254"/>
        <w:rPr>
          <w:rFonts w:cstheme="minorHAnsi"/>
          <w:color w:val="4472C4" w:themeColor="accent1"/>
        </w:rPr>
      </w:pPr>
    </w:p>
    <w:p w14:paraId="189F9E04" w14:textId="3E7DCCB4" w:rsidR="006C2FE2" w:rsidRDefault="006C2FE2" w:rsidP="0010269D">
      <w:pPr>
        <w:ind w:left="454" w:firstLine="254"/>
        <w:rPr>
          <w:rFonts w:cstheme="minorHAnsi"/>
          <w:color w:val="4472C4" w:themeColor="accen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0"/>
        <w:gridCol w:w="1652"/>
        <w:gridCol w:w="1652"/>
        <w:gridCol w:w="1652"/>
      </w:tblGrid>
      <w:tr w:rsidR="00BD0620" w:rsidRPr="00BD0620" w14:paraId="1B736668" w14:textId="77777777" w:rsidTr="005C7A76">
        <w:trPr>
          <w:trHeight w:val="444"/>
        </w:trPr>
        <w:tc>
          <w:tcPr>
            <w:tcW w:w="2170" w:type="dxa"/>
            <w:shd w:val="clear" w:color="auto" w:fill="404040" w:themeFill="text1" w:themeFillTint="BF"/>
          </w:tcPr>
          <w:p w14:paraId="6B0AA936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FFFFFF" w:themeColor="background1"/>
              </w:rPr>
            </w:pPr>
            <w:r w:rsidRPr="00BD0620">
              <w:rPr>
                <w:rFonts w:cstheme="minorHAnsi"/>
                <w:color w:val="FFFFFF" w:themeColor="background1"/>
              </w:rPr>
              <w:t>Carburant</w:t>
            </w:r>
          </w:p>
        </w:tc>
        <w:tc>
          <w:tcPr>
            <w:tcW w:w="1652" w:type="dxa"/>
            <w:shd w:val="clear" w:color="auto" w:fill="404040" w:themeFill="text1" w:themeFillTint="BF"/>
          </w:tcPr>
          <w:p w14:paraId="130A7D1F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FFFFFF" w:themeColor="background1"/>
              </w:rPr>
            </w:pPr>
            <w:proofErr w:type="spellStart"/>
            <w:r w:rsidRPr="00BD0620">
              <w:rPr>
                <w:rFonts w:cstheme="minorHAnsi"/>
                <w:color w:val="FFFFFF" w:themeColor="background1"/>
              </w:rPr>
              <w:t>Moy</w:t>
            </w:r>
            <w:proofErr w:type="spellEnd"/>
            <w:r w:rsidRPr="00BD0620">
              <w:rPr>
                <w:rFonts w:cstheme="minorHAnsi"/>
                <w:color w:val="FFFFFF" w:themeColor="background1"/>
              </w:rPr>
              <w:t>.</w:t>
            </w:r>
          </w:p>
        </w:tc>
        <w:tc>
          <w:tcPr>
            <w:tcW w:w="1652" w:type="dxa"/>
            <w:shd w:val="clear" w:color="auto" w:fill="404040" w:themeFill="text1" w:themeFillTint="BF"/>
          </w:tcPr>
          <w:p w14:paraId="146ED586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FFFFFF" w:themeColor="background1"/>
              </w:rPr>
            </w:pPr>
            <w:r w:rsidRPr="00BD0620">
              <w:rPr>
                <w:rFonts w:cstheme="minorHAnsi"/>
                <w:color w:val="FFFFFF" w:themeColor="background1"/>
              </w:rPr>
              <w:t>Max.</w:t>
            </w:r>
          </w:p>
        </w:tc>
        <w:tc>
          <w:tcPr>
            <w:tcW w:w="1652" w:type="dxa"/>
            <w:shd w:val="clear" w:color="auto" w:fill="404040" w:themeFill="text1" w:themeFillTint="BF"/>
          </w:tcPr>
          <w:p w14:paraId="7B021F30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FFFFFF" w:themeColor="background1"/>
              </w:rPr>
            </w:pPr>
            <w:r w:rsidRPr="00BD0620">
              <w:rPr>
                <w:rFonts w:cstheme="minorHAnsi"/>
                <w:color w:val="FFFFFF" w:themeColor="background1"/>
              </w:rPr>
              <w:t>Min.</w:t>
            </w:r>
          </w:p>
        </w:tc>
      </w:tr>
      <w:tr w:rsidR="00BD0620" w:rsidRPr="00BD0620" w14:paraId="471AA6FB" w14:textId="77777777" w:rsidTr="005C7A76">
        <w:trPr>
          <w:trHeight w:val="458"/>
        </w:trPr>
        <w:tc>
          <w:tcPr>
            <w:tcW w:w="2170" w:type="dxa"/>
            <w:shd w:val="clear" w:color="auto" w:fill="F7CAAC" w:themeFill="accent2" w:themeFillTint="66"/>
          </w:tcPr>
          <w:p w14:paraId="352C61E6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Gasoil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02B47E4A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1.789€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615D862B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1.890€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5BF0FCAF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1.670€</w:t>
            </w:r>
          </w:p>
        </w:tc>
      </w:tr>
      <w:tr w:rsidR="00BD0620" w:rsidRPr="00BD0620" w14:paraId="1277C7B1" w14:textId="77777777" w:rsidTr="005C7A76">
        <w:trPr>
          <w:trHeight w:val="444"/>
        </w:trPr>
        <w:tc>
          <w:tcPr>
            <w:tcW w:w="2170" w:type="dxa"/>
            <w:shd w:val="clear" w:color="auto" w:fill="F7CAAC" w:themeFill="accent2" w:themeFillTint="66"/>
          </w:tcPr>
          <w:p w14:paraId="6484CA1E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SP98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554AC00E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1.676€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2FB6CD27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1.699€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12E91282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1.504€</w:t>
            </w:r>
          </w:p>
        </w:tc>
      </w:tr>
      <w:tr w:rsidR="00BD0620" w:rsidRPr="00BD0620" w14:paraId="30126902" w14:textId="77777777" w:rsidTr="005C7A76">
        <w:trPr>
          <w:trHeight w:val="444"/>
        </w:trPr>
        <w:tc>
          <w:tcPr>
            <w:tcW w:w="2170" w:type="dxa"/>
            <w:shd w:val="clear" w:color="auto" w:fill="F7CAAC" w:themeFill="accent2" w:themeFillTint="66"/>
          </w:tcPr>
          <w:p w14:paraId="18348933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SP95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32803056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1.626€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7ACB1FAA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1.689€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5D8AC773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1.524€</w:t>
            </w:r>
          </w:p>
        </w:tc>
      </w:tr>
      <w:tr w:rsidR="00BD0620" w:rsidRPr="00BD0620" w14:paraId="5374B4CC" w14:textId="77777777" w:rsidTr="005C7A76">
        <w:trPr>
          <w:trHeight w:val="458"/>
        </w:trPr>
        <w:tc>
          <w:tcPr>
            <w:tcW w:w="2170" w:type="dxa"/>
            <w:shd w:val="clear" w:color="auto" w:fill="F7CAAC" w:themeFill="accent2" w:themeFillTint="66"/>
          </w:tcPr>
          <w:p w14:paraId="4D535096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E10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104762B0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1.511€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1DA1A566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1.589€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5D52FB04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1.417€</w:t>
            </w:r>
          </w:p>
        </w:tc>
      </w:tr>
      <w:tr w:rsidR="00BD0620" w:rsidRPr="00BD0620" w14:paraId="7C2CB632" w14:textId="77777777" w:rsidTr="005C7A76">
        <w:trPr>
          <w:trHeight w:val="444"/>
        </w:trPr>
        <w:tc>
          <w:tcPr>
            <w:tcW w:w="2170" w:type="dxa"/>
            <w:shd w:val="clear" w:color="auto" w:fill="F7CAAC" w:themeFill="accent2" w:themeFillTint="66"/>
          </w:tcPr>
          <w:p w14:paraId="3F48E8FA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E85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6B1E83C1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0.749€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0CB16127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0.749€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0BE8C726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0.749€</w:t>
            </w:r>
          </w:p>
        </w:tc>
      </w:tr>
      <w:tr w:rsidR="00BD0620" w:rsidRPr="0010269D" w14:paraId="17FAFD7A" w14:textId="77777777" w:rsidTr="005C7A76">
        <w:trPr>
          <w:trHeight w:val="444"/>
        </w:trPr>
        <w:tc>
          <w:tcPr>
            <w:tcW w:w="2170" w:type="dxa"/>
            <w:shd w:val="clear" w:color="auto" w:fill="F7CAAC" w:themeFill="accent2" w:themeFillTint="66"/>
          </w:tcPr>
          <w:p w14:paraId="5A56A19C" w14:textId="77777777" w:rsidR="00BD0620" w:rsidRPr="00BD0620" w:rsidRDefault="00BD0620" w:rsidP="006C7B7D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GPL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4882CAD8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0.704€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5CAC8CE5" w14:textId="77777777" w:rsidR="00BD0620" w:rsidRPr="00BD0620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0.704€</w:t>
            </w:r>
          </w:p>
        </w:tc>
        <w:tc>
          <w:tcPr>
            <w:tcW w:w="1652" w:type="dxa"/>
            <w:shd w:val="clear" w:color="auto" w:fill="C5E0B3" w:themeFill="accent6" w:themeFillTint="66"/>
          </w:tcPr>
          <w:p w14:paraId="62A61185" w14:textId="77777777" w:rsidR="00BD0620" w:rsidRPr="0010269D" w:rsidRDefault="00BD0620" w:rsidP="005C7A76">
            <w:pPr>
              <w:ind w:left="0"/>
              <w:jc w:val="center"/>
              <w:rPr>
                <w:rFonts w:cstheme="minorHAnsi"/>
                <w:color w:val="4472C4" w:themeColor="accent1"/>
              </w:rPr>
            </w:pPr>
            <w:r w:rsidRPr="00BD0620">
              <w:rPr>
                <w:rFonts w:cstheme="minorHAnsi"/>
                <w:color w:val="4472C4" w:themeColor="accent1"/>
              </w:rPr>
              <w:t>0.704€</w:t>
            </w:r>
          </w:p>
        </w:tc>
      </w:tr>
    </w:tbl>
    <w:p w14:paraId="2E265138" w14:textId="6FA6BF6D" w:rsidR="006C2FE2" w:rsidRPr="0010269D" w:rsidRDefault="006C2FE2" w:rsidP="00BD0620">
      <w:pPr>
        <w:tabs>
          <w:tab w:val="left" w:pos="1843"/>
          <w:tab w:val="left" w:pos="3686"/>
          <w:tab w:val="left" w:pos="5387"/>
        </w:tabs>
        <w:ind w:left="0"/>
        <w:rPr>
          <w:rFonts w:cstheme="minorHAnsi"/>
          <w:color w:val="4472C4" w:themeColor="accent1"/>
        </w:rPr>
      </w:pPr>
    </w:p>
    <w:sectPr w:rsidR="006C2FE2" w:rsidRPr="0010269D" w:rsidSect="006C7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single" w:sz="48" w:space="24" w:color="FF0000"/>
        <w:left w:val="single" w:sz="48" w:space="24" w:color="FF0000"/>
        <w:bottom w:val="single" w:sz="48" w:space="24" w:color="FF0000"/>
        <w:right w:val="single" w:sz="4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D11C" w14:textId="77777777" w:rsidR="00D00FD4" w:rsidRDefault="00D00FD4" w:rsidP="00E20F7C">
      <w:pPr>
        <w:spacing w:after="0"/>
      </w:pPr>
      <w:r>
        <w:separator/>
      </w:r>
    </w:p>
  </w:endnote>
  <w:endnote w:type="continuationSeparator" w:id="0">
    <w:p w14:paraId="286BC136" w14:textId="77777777" w:rsidR="00D00FD4" w:rsidRDefault="00D00FD4" w:rsidP="00E20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F913" w14:textId="77777777" w:rsidR="006C7B7D" w:rsidRDefault="006C7B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697D" w14:textId="77777777" w:rsidR="006C7B7D" w:rsidRDefault="006C7B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9B8E" w14:textId="77777777" w:rsidR="006C7B7D" w:rsidRDefault="006C7B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7B15" w14:textId="77777777" w:rsidR="00D00FD4" w:rsidRDefault="00D00FD4" w:rsidP="00E20F7C">
      <w:pPr>
        <w:spacing w:after="0"/>
      </w:pPr>
      <w:r>
        <w:separator/>
      </w:r>
    </w:p>
  </w:footnote>
  <w:footnote w:type="continuationSeparator" w:id="0">
    <w:p w14:paraId="7243E04B" w14:textId="77777777" w:rsidR="00D00FD4" w:rsidRDefault="00D00FD4" w:rsidP="00E20F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F89A" w14:textId="77777777" w:rsidR="006C7B7D" w:rsidRDefault="006C7B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6986" w14:textId="77777777" w:rsidR="006C7B7D" w:rsidRDefault="006C7B7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BBA5" w14:textId="77777777" w:rsidR="006C7B7D" w:rsidRDefault="006C7B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0E12"/>
    <w:multiLevelType w:val="hybridMultilevel"/>
    <w:tmpl w:val="3A1A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2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C"/>
    <w:rsid w:val="0010269D"/>
    <w:rsid w:val="005C7A76"/>
    <w:rsid w:val="006830B8"/>
    <w:rsid w:val="006C2FE2"/>
    <w:rsid w:val="006C7B7D"/>
    <w:rsid w:val="007C48A0"/>
    <w:rsid w:val="008E0438"/>
    <w:rsid w:val="00BD0620"/>
    <w:rsid w:val="00C5099A"/>
    <w:rsid w:val="00D00FD4"/>
    <w:rsid w:val="00E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EE40"/>
  <w15:chartTrackingRefBased/>
  <w15:docId w15:val="{884E178A-69AF-7A4A-9D78-D0B16FDD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9D"/>
    <w:pPr>
      <w:spacing w:after="160"/>
      <w:ind w:left="28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rticle-fullchapo">
    <w:name w:val="article-full__chapo"/>
    <w:basedOn w:val="Normal"/>
    <w:rsid w:val="00E20F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rmalWeb">
    <w:name w:val="Normal (Web)"/>
    <w:basedOn w:val="Normal"/>
    <w:uiPriority w:val="99"/>
    <w:unhideWhenUsed/>
    <w:rsid w:val="00E20F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BD0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C7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C7B7D"/>
  </w:style>
  <w:style w:type="paragraph" w:styleId="Pieddepage">
    <w:name w:val="footer"/>
    <w:basedOn w:val="Normal"/>
    <w:link w:val="PieddepageCar"/>
    <w:uiPriority w:val="99"/>
    <w:unhideWhenUsed/>
    <w:rsid w:val="006C7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C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72C31-14C2-7741-888C-F416B125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guilhem.desarcy-lemiere</dc:creator>
  <cp:keywords/>
  <dc:description/>
  <cp:lastModifiedBy>guilhem.desarcy-lemiere</cp:lastModifiedBy>
  <cp:revision>1</cp:revision>
  <dcterms:created xsi:type="dcterms:W3CDTF">2022-10-10T13:53:00Z</dcterms:created>
  <dcterms:modified xsi:type="dcterms:W3CDTF">2022-10-11T07:58:00Z</dcterms:modified>
</cp:coreProperties>
</file>