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365C" w:val="clear"/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30"/>
            </w:pPr>
            <w:r>
              <w:rPr>
                <w:b/>
                <w:bCs/>
                <w:color w:val="E8590C"/>
                <w:sz w:val="22"/>
                <w:szCs w:val="22"/>
              </w:rPr>
              <w:t xml:space="preserve">BLAZINGCDN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Monthly Financial Report</w:t>
            </w:r>
          </w:p>
          <w:p>
            <w:r>
              <w:rPr>
                <w:color w:val="C9D4E3"/>
                <w:sz w:val="22"/>
                <w:szCs w:val="22"/>
              </w:rPr>
              <w:t xml:space="preserve">Reporting period: May 2026</w:t>
            </w:r>
          </w:p>
        </w:tc>
      </w:tr>
    </w:tbl>
    <w:p>
      <w:pPr>
        <w:spacing w:after="20" w:before="120"/>
      </w:pPr>
      <w:r>
        <w:rPr>
          <w:color w:val="6B7280"/>
          <w:sz w:val="16"/>
          <w:szCs w:val="16"/>
        </w:rPr>
        <w:t xml:space="preserve">Prepared by Mike Scarpelli, CFO   •   Date 2026-06-04   •   For: Hermes (Chief of Staff) → CEO</w:t>
      </w:r>
    </w:p>
    <w:p>
      <w:pPr>
        <w:spacing w:after="160"/>
      </w:pPr>
      <w:r>
        <w:rPr>
          <w:i/>
          <w:iCs/>
          <w:color w:val="6B7280"/>
          <w:sz w:val="15"/>
          <w:szCs w:val="15"/>
        </w:rPr>
        <w:t xml:space="preserve">Source of truth: HubSpot production portal (Hub &lt;CONFIRM_PROD_HUB_ID&gt;), Deals → "Current Clients Pipeline". Expenses: Google Drive "CFO".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EF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6365C"/>
                <w:sz w:val="30"/>
                <w:szCs w:val="30"/>
              </w:rPr>
              <w:t xml:space="preserve">$27.8K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15"/>
                <w:szCs w:val="15"/>
              </w:rPr>
              <w:t xml:space="preserve">MRR (provisional)</w:t>
            </w:r>
          </w:p>
          <w:p>
            <w:pPr>
              <w:jc w:val="center"/>
            </w:pPr>
            <w:r>
              <w:rPr>
                <w:b/>
                <w:bCs/>
                <w:color w:val="16365C"/>
                <w:sz w:val="15"/>
                <w:szCs w:val="15"/>
              </w:rPr>
              <w:t xml:space="preserve">ARR ≈ $392.9K smoothed</w:t>
            </w:r>
          </w:p>
        </w:tc>
        <w:tc>
          <w:tcPr>
            <w:tcW w:type="dxa" w:w="234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EF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6365C"/>
                <w:sz w:val="30"/>
                <w:szCs w:val="30"/>
              </w:rPr>
              <w:t xml:space="preserve">+20.5%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15"/>
                <w:szCs w:val="15"/>
              </w:rPr>
              <w:t xml:space="preserve">Revenue YoY (May)</w:t>
            </w:r>
          </w:p>
          <w:p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Clean — trust</w:t>
            </w:r>
          </w:p>
        </w:tc>
        <w:tc>
          <w:tcPr>
            <w:tcW w:type="dxa" w:w="234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EF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6365C"/>
                <w:sz w:val="30"/>
                <w:szCs w:val="30"/>
              </w:rPr>
              <w:t xml:space="preserve">2.0%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15"/>
                <w:szCs w:val="15"/>
              </w:rPr>
              <w:t xml:space="preserve">Tool spend / revenue</w:t>
            </w:r>
          </w:p>
          <w:p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✓ Under 5% target</w:t>
            </w:r>
          </w:p>
        </w:tc>
        <w:tc>
          <w:tcPr>
            <w:tcW w:type="dxa" w:w="234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EF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6365C"/>
                <w:sz w:val="30"/>
                <w:szCs w:val="30"/>
              </w:rPr>
              <w:t xml:space="preserve">86.8%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15"/>
                <w:szCs w:val="15"/>
              </w:rPr>
              <w:t xml:space="preserve">Top-10 concentration</w:t>
            </w:r>
          </w:p>
          <w:p>
            <w:pPr>
              <w:jc w:val="center"/>
            </w:pPr>
            <w:r>
              <w:rPr>
                <w:b/>
                <w:bCs/>
                <w:color w:val="B26A00"/>
                <w:sz w:val="15"/>
                <w:szCs w:val="15"/>
              </w:rPr>
              <w:t xml:space="preserve">⚠ High risk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0D6BE" w:sz="1"/>
              <w:left w:val="single" w:color="B26A00" w:sz="18"/>
              <w:bottom w:val="single" w:color="E0D6BE" w:sz="1"/>
              <w:right w:val="single" w:color="E0D6BE" w:sz="1"/>
            </w:tcBorders>
            <w:shd w:fill="FC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⚠  Data integrity — read this first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2026-04 = $0 in source data — almost certainly a missing billing batch, not a zero-revenue month. Every trailing metric spanning it (T3M, TTM, NRR, GRR, decomposition) is PROVISIONAL. Clean single-month and YoY figures are unaffected. Action: backfill the batch (owner: data/RevOps).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Expense files are not a full P&amp;L — they cover SaaS tooling, ads and AI-API only; no CDN delivery COGS, no payroll. True gross/operating margin and runway cannot be computed yet. Margins below are “net of tracked OpEx,” not GAAP.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May 2026 is pre-batch / provisional — formal close is 2026-06-05; figures reflect deal data present as of 2026-06-04. FX: expenses in EUR converted at assumed EUR→USD 1.08 (confirm settlement rate).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CFO bottom line (for Hermes → CEO)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May 2026 revenue $27.8K, +20.5% YoY — real, clean growth, driven by 5 net-new top accounts landed over the past year. Zero logo churn.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Headline trend metrics (T3M, NRR, GRR) are NOT real — artifacts of the missing April batch. #1 action is backfilling April; until then ignore them.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True margins and runway are not yet producible — the data room lacks CDN COGS, payroll and cash balance. Closing that gap unlocks Rule-of-40 / Magic Number / runway.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Risk to watch: 87% revenue concentration in the top 10 accounts.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Working run-rate to plan against: ARR ≈ $390K (smoothed).</w:t>
      </w:r>
    </w:p>
    <w:p>
      <w:pPr>
        <w:spacing w:after="8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A.  Monthly revenue &amp; result — May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Revenue: </w:t>
      </w:r>
      <w:r>
        <w:rPr>
          <w:b/>
          <w:bCs/>
          <w:color w:val="16365C"/>
          <w:sz w:val="24"/>
          <w:szCs w:val="24"/>
        </w:rPr>
        <w:t xml:space="preserve">$27,787.01</w:t>
      </w:r>
      <w:r>
        <w:rPr>
          <w:color w:val="6B7280"/>
          <w:sz w:val="16"/>
          <w:szCs w:val="16"/>
        </w:rPr>
        <w:t xml:space="preserve">    68 billing events  •  51 unique paying clients</w:t>
      </w:r>
    </w:p>
    <w:p>
      <w:pPr>
        <w:spacing w:after="60"/>
      </w:pPr>
      <w:r>
        <w:rPr>
          <w:b/>
          <w:bCs/>
          <w:sz w:val="17"/>
          <w:szCs w:val="17"/>
        </w:rPr>
        <w:t xml:space="preserve">Revenue by plan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 type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Recurring / subscription-like (47 clients)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$27,672.19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99.6%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One-off / PAYG-like (4 clients)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$114.82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0.4%</w:t>
            </w:r>
          </w:p>
        </w:tc>
      </w:tr>
    </w:tbl>
    <w:p>
      <w:pPr>
        <w:spacing w:after="140" w:before="60"/>
      </w:pPr>
      <w:r>
        <w:rPr>
          <w:i/>
          <w:iCs/>
          <w:color w:val="6B7280"/>
          <w:sz w:val="15"/>
          <w:szCs w:val="15"/>
        </w:rPr>
        <w:t xml:space="preserve">Recurrence heuristic — no contractual plan_type field yet. Recommendation: add a plan_type deal property so the split is exact.</w:t>
      </w:r>
    </w:p>
    <w:p>
      <w:pPr>
        <w:spacing w:after="60"/>
      </w:pPr>
      <w:r>
        <w:rPr>
          <w:b/>
          <w:bCs/>
          <w:sz w:val="17"/>
          <w:szCs w:val="17"/>
        </w:rPr>
        <w:t xml:space="preserve">Tracked OpEx (tooling, ads, AI only; not a full P&amp;L):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EUR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Marketing (Google Ads €1,069; LinkedIn €0)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€1,069.00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$1,154.52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&amp; AI (OpenAI €120; Claude €120; Jina €50)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€290.00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$313.20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Ops &amp; infra (HubSpot €98; make.com €17; Atlassian €20; GCP €40)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€175.00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$189.00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Sales tooling (SalesQL €68; Zapmail €34; QEV €30)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€132.00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$142.56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tracked OpEx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€1,666.00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$1,799.28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0D6BE" w:sz="1"/>
              <w:left w:val="single" w:color="2E7D32" w:sz="18"/>
              <w:bottom w:val="single" w:color="E0D6BE" w:sz="1"/>
              <w:right w:val="single" w:color="E0D6BE" w:sz="1"/>
            </w:tcBorders>
            <w:shd w:fill="E9F3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Net result — net of tracked OpEx only (NOT operating profit)</w:t>
            </w:r>
          </w:p>
          <w:p>
            <w:r>
              <w:rPr>
                <w:sz w:val="18"/>
                <w:szCs w:val="18"/>
              </w:rPr>
              <w:t xml:space="preserve">$27,787.01 − $1,799.28 =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$25,987.73</w:t>
            </w:r>
            <w:r>
              <w:rPr>
                <w:color w:val="6B7280"/>
                <w:sz w:val="16"/>
                <w:szCs w:val="16"/>
              </w:rPr>
              <w:t xml:space="preserve">   •   93.5% contribution after tracked tooling/marketing</w:t>
            </w:r>
          </w:p>
          <w:p>
            <w:pPr>
              <w:spacing w:before="40"/>
            </w:pPr>
            <w:r>
              <w:rPr>
                <w:i/>
                <w:iCs/>
                <w:color w:val="6B7280"/>
                <w:sz w:val="15"/>
                <w:szCs w:val="15"/>
              </w:rPr>
              <w:t xml:space="preserve">This is not a gross or operating margin — CDN delivery COGS and payroll are absent from the data room.</w:t>
            </w:r>
          </w:p>
        </w:tc>
      </w:tr>
    </w:tbl>
    <w:p>
      <w:pPr>
        <w:spacing w:after="20" w:before="120"/>
      </w:pPr>
      <w:r>
        <w:rPr>
          <w:b/>
          <w:bCs/>
          <w:sz w:val="18"/>
          <w:szCs w:val="18"/>
        </w:rPr>
        <w:t xml:space="preserve">Revenue trend — monthly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B.  Trends &amp;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0D6BE" w:sz="1"/>
              <w:left w:val="single" w:color="2E7D32" w:sz="18"/>
              <w:bottom w:val="single" w:color="E0D6BE" w:sz="1"/>
              <w:right w:val="single" w:color="E0D6BE" w:sz="1"/>
            </w:tcBorders>
            <w:shd w:fill="E9F3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YoY (month) vs same month last year  •  CLEAN, trust this</w:t>
            </w:r>
          </w:p>
          <w:p>
            <w:r>
              <w:rPr>
                <w:sz w:val="18"/>
                <w:szCs w:val="18"/>
              </w:rPr>
              <w:t xml:space="preserve">$27,787.01 vs $23,053.53   →  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+$4,733.48  /  +20.5%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17"/>
          <w:szCs w:val="17"/>
        </w:rPr>
        <w:t xml:space="preserve">3-month block (T3M) vs prior T3M: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T3M (03=$43.8K + 04=$0.0K + 05=$27.8K)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$71,631.39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Prior T3M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$87,960.48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−18.6%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With backfill (≈ trailing avg)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≈$103.5K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≈+17.6%</w:t>
            </w:r>
          </w:p>
        </w:tc>
      </w:tr>
    </w:tbl>
    <w:p>
      <w:pPr>
        <w:spacing w:after="140" w:before="60"/>
      </w:pPr>
      <w:r>
        <w:rPr>
          <w:i/>
          <w:iCs/>
          <w:color w:val="6B7280"/>
          <w:sz w:val="15"/>
          <w:szCs w:val="15"/>
        </w:rPr>
        <w:t xml:space="preserve">The headline change is an artifact of the missing batch — do not act on it until the gap is loaded.</w:t>
      </w:r>
    </w:p>
    <w:p>
      <w:pPr>
        <w:spacing w:after="60"/>
      </w:pPr>
      <w:r>
        <w:rPr>
          <w:b/>
          <w:bCs/>
          <w:sz w:val="17"/>
          <w:szCs w:val="17"/>
        </w:rPr>
        <w:t xml:space="preserve">Growth decomposition (material clients, Mar–May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Movement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+$4,200.00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E7D32"/>
                <w:sz w:val="18"/>
                <w:szCs w:val="18"/>
              </w:rPr>
              <w:t xml:space="preserve">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+$14,418.43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C62828"/>
                <w:sz w:val="18"/>
                <w:szCs w:val="18"/>
              </w:rPr>
              <w:t xml:space="preserve">Contraction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−$32,556.01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E7D32"/>
                <w:sz w:val="18"/>
                <w:szCs w:val="18"/>
              </w:rPr>
              <w:t xml:space="preserve">Churn (full logo loss)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+$0.00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Net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−$13,937.58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</w:tr>
    </w:tbl>
    <w:p>
      <w:pPr>
        <w:spacing w:after="120" w:before="60"/>
      </w:pPr>
      <w:r>
        <w:rPr>
          <w:i/>
          <w:iCs/>
          <w:color w:val="6B7280"/>
          <w:sz w:val="15"/>
          <w:szCs w:val="15"/>
        </w:rPr>
        <w:t xml:space="preserve">The large contraction is almost entirely the April hole (every recurring payer is missing one month in the window). Zero churn is the real signal — no clients fully lost. Re-run after backfill.</w:t>
      </w:r>
    </w:p>
    <w:p>
      <w:r>
        <w:br w:type="pag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C.  Customers — Top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80"/>
        <w:gridCol w:w="1380"/>
        <w:gridCol w:w="900"/>
        <w:gridCol w:w="1500"/>
        <w:gridCol w:w="1500"/>
      </w:tblGrid>
      <w:tr>
        <w:trPr>
          <w:cantSplit/>
        </w:trPr>
        <w:tc>
          <w:tcPr>
            <w:tcW w:type="dxa" w:w="27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13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mo</w:t>
            </w:r>
          </w:p>
        </w:tc>
        <w:tc>
          <w:tcPr>
            <w:tcW w:type="dxa" w:w="13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Prev mo*</w:t>
            </w:r>
          </w:p>
        </w:tc>
        <w:tc>
          <w:tcPr>
            <w:tcW w:type="dxa" w:w="9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MoM</w:t>
            </w:r>
          </w:p>
        </w:tc>
        <w:tc>
          <w:tcPr>
            <w:tcW w:type="dxa" w:w="15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T3M</w:t>
            </w:r>
          </w:p>
        </w:tc>
        <w:tc>
          <w:tcPr>
            <w:tcW w:type="dxa" w:w="15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Same mo 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 rabin.yor…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$4,875.98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$4,976.69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−2.0%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$9,852.67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$4,743.60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 eliaskhan.it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$4,675.00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$8,000.00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−41.6%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$12,675.00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$5,500.00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3  itgroup (avanquest)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+1900.0%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$4,200.00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4  yashwanth (moengage)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$2,250.00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$2,250.00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$4,500.00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5  a.ruin (epom)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$2,410.55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−17.0%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$4,410.55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6  secretfy.corp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$4,000.00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7  arik.holaspark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$2,000.00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$1,500.00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+33.3%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$3,500.00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$3,700.00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8  theqooking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$1,114.29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$1,033.73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+7.8%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$2,148.02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$1,261.90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9  manuel.skelton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$603.00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$900.00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−33.0%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$1,503.00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  bret.cityspark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$592.56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$561.05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+5.6%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$1,153.61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$620.20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  devops.nordix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$430.00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$470.00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−8.5%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$900.00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$300.00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12  media.streamhub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$398.00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$360.00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+10.6%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$758.00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  cdn.playwave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$360.00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$470.00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−23.4%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$830.00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$410.00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14  ott.brightcast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$322.00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$305.00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+5.6%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$627.00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 game.patchgrid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$295.00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$270.00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+9.3%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$565.00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$240.00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 saas.fluxdeliver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$268.00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$268.00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$536.00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$260.00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17  vod.castline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$242.00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$210.00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+15.2%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$452.00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  web.edgepush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$210.00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$250.00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−16.0%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$460.00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$220.00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  img.snapcdn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$182.00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$160.00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+13.8%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$342.00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$140.00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20  api.routemesh  ★ new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$158.00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$150.00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+5.3%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$308.00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</w:tbl>
    <w:p>
      <w:pPr>
        <w:spacing w:after="0" w:before="50"/>
      </w:pPr>
      <w:r>
        <w:rPr>
          <w:i/>
          <w:iCs/>
          <w:color w:val="6B7280"/>
          <w:sz w:val="14"/>
          <w:szCs w:val="14"/>
        </w:rPr>
        <w:t xml:space="preserve">* Prev mo. = previous complete billed month; 2026-04 was skipped (missing batch).</w:t>
      </w:r>
    </w:p>
    <w:p>
      <w:pPr>
        <w:spacing w:after="80" w:before="60"/>
      </w:pPr>
      <w:r>
        <w:rPr>
          <w:color w:val="2E7D32"/>
          <w:sz w:val="16"/>
          <w:szCs w:val="16"/>
        </w:rPr>
        <w:t xml:space="preserve">Good-news signal: 5 of the top 10 had $0 in May 2025 — these net-new accounts are the real engine behind +20.5% YoY.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"/>
        <w:jc w:val="center"/>
      </w:pPr>
      <w:r>
        <w:rPr>
          <w:b/>
          <w:bCs/>
          <w:sz w:val="17"/>
          <w:szCs w:val="17"/>
        </w:rPr>
        <w:t xml:space="preserve">Revenue concentration (top-10)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0D6BE" w:sz="1"/>
              <w:left w:val="single" w:color="B26A00" w:sz="18"/>
              <w:bottom w:val="single" w:color="E0D6BE" w:sz="1"/>
              <w:right w:val="single" w:color="E0D6BE" w:sz="1"/>
            </w:tcBorders>
            <w:shd w:fill="FC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⚠  Concentration risk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Top-10 share 86.8%</w:t>
            </w:r>
            <w:r>
              <w:rPr>
                <w:sz w:val="16"/>
                <w:szCs w:val="16"/>
              </w:rPr>
              <w:t xml:space="preserve">  •  Top-1 share 17.5% (rabin.yor…)</w:t>
            </w:r>
          </w:p>
          <w:p>
            <w:pPr>
              <w:spacing w:before="40"/>
            </w:pPr>
            <w:r>
              <w:rPr>
                <w:sz w:val="16"/>
                <w:szCs w:val="16"/>
              </w:rPr>
              <w:t xml:space="preserve">With 87% of revenue in 10 accounts, loss of any single top account is material. Recommend a named-account QBR/retention program for the top 10 and a diversification target (top-10 &lt; 70% by year-end).</w:t>
            </w:r>
          </w:p>
        </w:tc>
      </w:tr>
    </w:tbl>
    <w:p>
      <w:pPr>
        <w:spacing w:after="80" w:before="60"/>
      </w:pPr>
      <w:r>
        <w:rPr>
          <w:i/>
          <w:iCs/>
          <w:color w:val="6B7280"/>
          <w:sz w:val="14"/>
          <w:szCs w:val="14"/>
        </w:rPr>
        <w:t xml:space="preserve">Data hygiene: one $1.00 test deal and two small negatives (−$9.24, −$12.27, likely refunds) in the log — immaterial; clean up the test record.</w:t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D.  Run-rate &amp; forward</w:t>
      </w:r>
    </w:p>
    <w:p>
      <w:pPr>
        <w:spacing w:after="60"/>
      </w:pPr>
      <w:r>
        <w:rPr>
          <w:b/>
          <w:bCs/>
          <w:sz w:val="17"/>
          <w:szCs w:val="17"/>
        </w:rPr>
        <w:t xml:space="preserve">ARR snapshot (recurring book, so MRR ≈ monthly revenue):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rPr>
          <w:cantSplit/>
        </w:trPr>
        <w:tc>
          <w:tcPr>
            <w:tcW w:type="dxa" w:w="556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9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19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</w:tr>
      <w:tr>
        <w:trPr>
          <w:cantSplit/>
        </w:trP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Current (provisional)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$27,787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≈$333.4K</w:t>
            </w:r>
          </w:p>
        </w:tc>
      </w:tr>
      <w:tr>
        <w:trPr>
          <w:cantSplit/>
        </w:trP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Smoothed (complete months, excl. gap)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$32,741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≈$392.9K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>Plan against ARR ≈ $392.9K (smoothed working run-rate); $333.4K is the conservative floor until the gap is backfilled and the month reconciled.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Pipeline-to-ARR conversion: not computable — “Current Clients Pipeline” is a single-stage customer ledger, not a funnel. Action: stand up a sales pipeline with open stages (Lead → Qualified → Proposal → Won) to measure coverage/conversion.</w:t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E.  Unit economics &amp; efficiency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CAC by channel: only paid ad spend is attributable. Not a real CAC until new-logo counts are channel-tagged and fully-loaded S&amp;M cost is captured. Action: tag deals with acquisition channel; route S&amp;M payroll into the data room.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Tool spend vs revenue: recurring tooling ≈ $569/mo = 2.0% of MRR — under the &lt;5% target.</w:t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F.  Cash &amp; runway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0D6BE" w:sz="1"/>
              <w:left w:val="single" w:color="6B7280" w:sz="18"/>
              <w:bottom w:val="single" w:color="E0D6BE" w:sz="1"/>
              <w:right w:val="single" w:color="E0D6BE" w:sz="1"/>
            </w:tcBorders>
            <w:shd w:fill="F1F2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Cash runway — not computable this cycle</w:t>
            </w:r>
          </w:p>
          <w:p>
            <w:r>
              <w:rPr>
                <w:sz w:val="16"/>
                <w:szCs w:val="16"/>
              </w:rPr>
              <w:t xml:space="preserve">Missing inputs: opening cash balance (held by YODA / banking) and fully-loaded monthly burn (payroll + CDN infrastructure COGS).</w:t>
            </w:r>
          </w:p>
          <w:p>
            <w:pPr>
              <w:spacing w:before="40"/>
            </w:pPr>
            <w:r>
              <w:rPr>
                <w:sz w:val="16"/>
                <w:szCs w:val="16"/>
              </w:rPr>
              <w:t xml:space="preserve">On tracked OpEx alone the business is cash-generative (+$25,987.73), but that ignores the two largest real cost buckets (people, delivery infra) — so it is NOT a runway statement. Action: provide opening cash + payroll + infra COGS next cycle.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SaaS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100"/>
        <w:gridCol w:w="1700"/>
        <w:gridCol w:w="1700"/>
      </w:tblGrid>
      <w:tr>
        <w:trPr>
          <w:cantSplit/>
        </w:trPr>
        <w:tc>
          <w:tcPr>
            <w:tcW w:type="dxa" w:w="286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7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$27.8K prov. / $32.7K smoothed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ARR/12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Tracking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~$333.4K floor / ~$392.9K smoothed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10× baseline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Tracking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Net new ARR (mo)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provisional (decomposition)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(10×−1)/12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Blocked — gap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NRR (T3M proxy)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75.1%  ⚠ distorted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≥110%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B26A00"/>
                <w:sz w:val="18"/>
                <w:szCs w:val="18"/>
              </w:rPr>
              <w:t xml:space="preserve">Re-run post-backfill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GRR (T3M proxy)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57.2%  ⚠ distorted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≥95%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B26A00"/>
                <w:sz w:val="18"/>
                <w:szCs w:val="18"/>
              </w:rPr>
              <w:t xml:space="preserve">Re-run post-backfill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CAC by channel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not attributable yet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&lt;18mo payback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B26A00"/>
                <w:sz w:val="18"/>
                <w:szCs w:val="18"/>
              </w:rPr>
              <w:t xml:space="preserve">Needs channel tags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Magic Number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n/a (needs prior-Q S&amp;M)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≥1.0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B26A00"/>
                <w:sz w:val="18"/>
                <w:szCs w:val="18"/>
              </w:rPr>
              <w:t xml:space="preserve">Needs S&amp;M base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Rule of 40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n/a (needs FCF margin)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≥40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B26A00"/>
                <w:sz w:val="18"/>
                <w:szCs w:val="18"/>
              </w:rPr>
              <w:t xml:space="preserve">Needs full P&amp;L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Tool spend / revenue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&lt;5%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Concentration top-10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86.8%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(watch)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⚠ High</w:t>
            </w:r>
          </w:p>
        </w:tc>
      </w:tr>
    </w:tbl>
    <w:p>
      <w:pPr>
        <w:spacing w:before="240"/>
        <w:jc w:val="center"/>
      </w:pPr>
      <w:r>
        <w:rPr>
          <w:color w:val="6B7280"/>
          <w:sz w:val="15"/>
          <w:szCs w:val="15"/>
        </w:rPr>
        <w:t xml:space="preserve">— End of report —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4" w:sz="4" w:space="6"/>
      </w:pBdr>
      <w:jc w:val="center"/>
    </w:pPr>
    <w:r>
      <w:rPr>
        <w:color w:val="6B7280"/>
        <w:sz w:val="14"/>
        <w:szCs w:val="14"/>
      </w:rPr>
      <w:t xml:space="preserve">BlazingCDN — Monthly Financial Report — May 2026   •   Confidential   • 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36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65bf802407f82eb4bde2c1ef8393a10fc0ba8b.png"/><Relationship Id="rId9" Type="http://schemas.openxmlformats.org/officeDocument/2006/relationships/image" Target="media/fe7128774ec1af6e378e6533959e144dec5a25ed.png"/><Relationship Id="rId10" Type="http://schemas.openxmlformats.org/officeDocument/2006/relationships/image" Target="media/2526a08c78bfaa4db96df7d6cf4d0f8cef641f0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2026-06-04T19:34:19.531Z</dcterms:created>
  <dcterms:modified xsi:type="dcterms:W3CDTF">2026-06-04T19:34:19.531Z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