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6365C" w:val="clear"/>
            <w:tcMar>
              <w:top w:type="dxa" w:w="200"/>
              <w:left w:type="dxa" w:w="240"/>
              <w:bottom w:type="dxa" w:w="160"/>
              <w:right w:type="dxa" w:w="240"/>
            </w:tcMar>
          </w:tcPr>
          <w:p>
            <w:pPr>
              <w:spacing w:after="30"/>
            </w:pPr>
            <w:r>
              <w:rPr>
                <w:b/>
                <w:bCs/>
                <w:color w:val="E8590C"/>
                <w:sz w:val="22"/>
                <w:szCs w:val="22"/>
              </w:rPr>
              <w:t xml:space="preserve">BLAZINGCDN</w:t>
            </w:r>
          </w:p>
          <w:p>
            <w:pPr>
              <w:spacing w:after="2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Monthly Financial Report</w:t>
            </w:r>
          </w:p>
          <w:p>
            <w:r>
              <w:rPr>
                <w:color w:val="C9D4E3"/>
                <w:sz w:val="22"/>
                <w:szCs w:val="22"/>
              </w:rPr>
              <w:t xml:space="preserve">Reporting period: May 2026</w:t>
            </w:r>
          </w:p>
        </w:tc>
      </w:tr>
    </w:tbl>
    <w:p>
      <w:pPr>
        <w:spacing w:after="20" w:before="120"/>
      </w:pPr>
      <w:r>
        <w:rPr>
          <w:color w:val="6B7280"/>
          <w:sz w:val="16"/>
          <w:szCs w:val="16"/>
        </w:rPr>
        <w:t xml:space="preserve">Prepared by Mike Scarpelli, CFO   •   Date 2026-06-04   •   For: Hermes (Chief of Staff) → CEO</w:t>
      </w:r>
    </w:p>
    <w:p>
      <w:pPr>
        <w:spacing w:after="160"/>
      </w:pPr>
      <w:r>
        <w:rPr>
          <w:i/>
          <w:iCs/>
          <w:color w:val="6B7280"/>
          <w:sz w:val="15"/>
          <w:szCs w:val="15"/>
        </w:rPr>
        <w:t xml:space="preserve">Source of truth: HubSpot production portal (Hub 143144902), Deals → “Current Clients Pipeline”. Expenses: Google Drive “CFO” (PayG + Subscriptions).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EEF2F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6365C"/>
                <w:sz w:val="30"/>
                <w:szCs w:val="30"/>
              </w:rPr>
              <w:t xml:space="preserve">$27.8K</w:t>
            </w:r>
          </w:p>
          <w:p>
            <w:pPr>
              <w:spacing w:after="40"/>
              <w:jc w:val="center"/>
            </w:pPr>
            <w:r>
              <w:rPr>
                <w:color w:val="6B7280"/>
                <w:sz w:val="15"/>
                <w:szCs w:val="15"/>
              </w:rPr>
              <w:t xml:space="preserve">MRR (provisional)</w:t>
            </w:r>
          </w:p>
          <w:p>
            <w:pPr>
              <w:jc w:val="center"/>
            </w:pPr>
            <w:r>
              <w:rPr>
                <w:b/>
                <w:bCs/>
                <w:color w:val="16365C"/>
                <w:sz w:val="15"/>
                <w:szCs w:val="15"/>
              </w:rPr>
              <w:t xml:space="preserve">ARR ≈ $390K smoothed</w:t>
            </w:r>
          </w:p>
        </w:tc>
        <w:tc>
          <w:tcPr>
            <w:tcW w:type="dxa" w:w="234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EEF2F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6365C"/>
                <w:sz w:val="30"/>
                <w:szCs w:val="30"/>
              </w:rPr>
              <w:t xml:space="preserve">+20.5%</w:t>
            </w:r>
          </w:p>
          <w:p>
            <w:pPr>
              <w:spacing w:after="40"/>
              <w:jc w:val="center"/>
            </w:pPr>
            <w:r>
              <w:rPr>
                <w:color w:val="6B7280"/>
                <w:sz w:val="15"/>
                <w:szCs w:val="15"/>
              </w:rPr>
              <w:t xml:space="preserve">Revenue YoY (May)</w:t>
            </w:r>
          </w:p>
          <w:p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 xml:space="preserve">Clean — trust</w:t>
            </w:r>
          </w:p>
        </w:tc>
        <w:tc>
          <w:tcPr>
            <w:tcW w:type="dxa" w:w="234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EEF2F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6365C"/>
                <w:sz w:val="30"/>
                <w:szCs w:val="30"/>
              </w:rPr>
              <w:t xml:space="preserve">2.05%</w:t>
            </w:r>
          </w:p>
          <w:p>
            <w:pPr>
              <w:spacing w:after="40"/>
              <w:jc w:val="center"/>
            </w:pPr>
            <w:r>
              <w:rPr>
                <w:color w:val="6B7280"/>
                <w:sz w:val="15"/>
                <w:szCs w:val="15"/>
              </w:rPr>
              <w:t xml:space="preserve">Tool spend / revenue</w:t>
            </w:r>
          </w:p>
          <w:p>
            <w:pPr>
              <w:jc w:val="center"/>
            </w:pPr>
            <w:r>
              <w:rPr>
                <w:b/>
                <w:bCs/>
                <w:color w:val="2E7D32"/>
                <w:sz w:val="15"/>
                <w:szCs w:val="15"/>
              </w:rPr>
              <w:t xml:space="preserve">✓ Under 5% target</w:t>
            </w:r>
          </w:p>
        </w:tc>
        <w:tc>
          <w:tcPr>
            <w:tcW w:type="dxa" w:w="2340"/>
            <w:tcBorders>
              <w:top w:val="single" w:color="D9DEE4" w:sz="1"/>
              <w:left w:val="single" w:color="D9DEE4" w:sz="1"/>
              <w:bottom w:val="single" w:color="D9DEE4" w:sz="1"/>
              <w:right w:val="single" w:color="D9DEE4" w:sz="1"/>
            </w:tcBorders>
            <w:shd w:fill="EEF2F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6365C"/>
                <w:sz w:val="30"/>
                <w:szCs w:val="30"/>
              </w:rPr>
              <w:t xml:space="preserve">86.8%</w:t>
            </w:r>
          </w:p>
          <w:p>
            <w:pPr>
              <w:spacing w:after="40"/>
              <w:jc w:val="center"/>
            </w:pPr>
            <w:r>
              <w:rPr>
                <w:color w:val="6B7280"/>
                <w:sz w:val="15"/>
                <w:szCs w:val="15"/>
              </w:rPr>
              <w:t xml:space="preserve">Top-10 concentration</w:t>
            </w:r>
          </w:p>
          <w:p>
            <w:pPr>
              <w:jc w:val="center"/>
            </w:pPr>
            <w:r>
              <w:rPr>
                <w:b/>
                <w:bCs/>
                <w:color w:val="B26A00"/>
                <w:sz w:val="15"/>
                <w:szCs w:val="15"/>
              </w:rPr>
              <w:t xml:space="preserve">⚠ High risk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6BE" w:sz="1"/>
              <w:left w:val="single" w:color="B26A00" w:sz="18"/>
              <w:bottom w:val="single" w:color="E0D6BE" w:sz="1"/>
              <w:right w:val="single" w:color="E0D6BE" w:sz="1"/>
            </w:tcBorders>
            <w:shd w:fill="FCF3E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⚠  Data integrity — read this first (baseline report)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April 2026 = $0 in source data — almost certainly a missing billing batch, not a zero-revenue month. Every trailing metric spanning April (T3M, TTM, NRR, GRR, decomposition) is PROVISIONAL. Clean single-month and YoY figures are unaffected. Action: backfill April (owner: data/RevOps — Vadym).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Expense files are not a full P&amp;L — they cover SaaS tooling, ads and AI-API only; no CDN delivery COGS, no payroll. True gross/operating margin and runway cannot be computed yet. Margins below are “net of tracked OpEx,” not GAAP.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May 2026 is pre-batch / provisional — formal close is 2026-06-05; figures reflect deal data present as of 2026-06-04. FX: expenses in EUR converted at assumed EUR→USD 1.08 (confirm settlement rate).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keepNext/>
        <w:pBdr>
          <w:bottom w:val="single" w:color="16365C" w:sz="6" w:space="2"/>
        </w:pBdr>
      </w:pPr>
      <w:r>
        <w:t xml:space="preserve">CFO bottom line (for Hermes → CEO)</w:t>
      </w:r>
    </w:p>
    <w:p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 xml:space="preserve">May 2026 revenue $27.8K, +20.5% YoY — real, clean growth, driven by 5 net-new top accounts landed over the past year. Zero logo churn.</w:t>
      </w:r>
    </w:p>
    <w:p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 xml:space="preserve">Headline trend metrics (T3M −18.6%, NRR 75%, GRR 57%) are NOT real — artifacts of the missing April batch. #1 action is backfilling April; until then ignore them.</w:t>
      </w:r>
    </w:p>
    <w:p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 xml:space="preserve">True margins and runway are not yet producible — the data room lacks CDN COGS, payroll and cash balance. Closing that gap unlocks Rule-of-40 / Magic Number / runway.</w:t>
      </w:r>
    </w:p>
    <w:p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 xml:space="preserve">Risk to watch: 87% revenue concentration in the top 10 accounts.</w:t>
      </w:r>
    </w:p>
    <w:p>
      <w:pPr>
        <w:pStyle w:val="ListParagraph"/>
        <w:numPr>
          <w:ilvl w:val="0"/>
          <w:numId w:val="3"/>
        </w:numPr>
      </w:pPr>
      <w:r>
        <w:rPr>
          <w:sz w:val="18"/>
          <w:szCs w:val="18"/>
        </w:rPr>
        <w:t xml:space="preserve">Working run-rate to plan against: ARR ≈ $390K (smoothed).</w:t>
      </w:r>
    </w:p>
    <w:p>
      <w:pPr>
        <w:spacing w:after="80"/>
      </w:pPr>
      <w:r>
        <w:t xml:space="preserve"/>
      </w:r>
    </w:p>
    <w:p>
      <w:pPr>
        <w:pStyle w:val="Heading2"/>
        <w:keepNext/>
        <w:pBdr>
          <w:bottom w:val="single" w:color="16365C" w:sz="6" w:space="2"/>
        </w:pBdr>
      </w:pPr>
      <w:r>
        <w:t xml:space="preserve">A.  Monthly revenue &amp; result — May 2026 (provisional)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Revenue: </w:t>
      </w:r>
      <w:r>
        <w:rPr>
          <w:b/>
          <w:bCs/>
          <w:color w:val="16365C"/>
          <w:sz w:val="24"/>
          <w:szCs w:val="24"/>
        </w:rPr>
        <w:t xml:space="preserve">$27,787.01</w:t>
      </w:r>
      <w:r>
        <w:rPr>
          <w:color w:val="6B7280"/>
          <w:sz w:val="16"/>
          <w:szCs w:val="16"/>
        </w:rPr>
        <w:t xml:space="preserve">    68 billing events  •  51 unique paying clients</w:t>
      </w:r>
    </w:p>
    <w:p>
      <w:pPr>
        <w:spacing w:after="60"/>
      </w:pPr>
      <w:r>
        <w:rPr>
          <w:b/>
          <w:bCs/>
          <w:sz w:val="17"/>
          <w:szCs w:val="17"/>
        </w:rPr>
        <w:t xml:space="preserve">Revenue by plan type (recurrence heuristic — no contractual plan_type field yet):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cantSplit/>
        </w:trPr>
        <w:tc>
          <w:tcPr>
            <w:tcW w:type="dxa" w:w="468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Plan type</w:t>
            </w:r>
          </w:p>
        </w:tc>
        <w:tc>
          <w:tcPr>
            <w:tcW w:type="dxa" w:w="234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234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Recurring / subscription-like (47 clients)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$27,672.19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99.6%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One-off / PAYG-like (4 clients)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$114.82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0.4%</w:t>
            </w:r>
          </w:p>
        </w:tc>
      </w:tr>
    </w:tbl>
    <w:p>
      <w:pPr>
        <w:spacing w:after="140" w:before="60"/>
      </w:pPr>
      <w:r>
        <w:rPr>
          <w:i/>
          <w:iCs/>
          <w:color w:val="6B7280"/>
          <w:sz w:val="15"/>
          <w:szCs w:val="15"/>
        </w:rPr>
        <w:t xml:space="preserve">Recommendation: add a plan_type deal property so the split is exact, not heuristic.</w:t>
      </w:r>
    </w:p>
    <w:p>
      <w:pPr>
        <w:spacing w:after="60"/>
      </w:pPr>
      <w:r>
        <w:rPr>
          <w:b/>
          <w:bCs/>
          <w:sz w:val="17"/>
          <w:szCs w:val="17"/>
        </w:rPr>
        <w:t xml:space="preserve">Tracked OpEx — May 2026 (tooling, ads, AI only; not a full P&amp;L):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cantSplit/>
        </w:trPr>
        <w:tc>
          <w:tcPr>
            <w:tcW w:type="dxa" w:w="468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EUR</w:t>
            </w:r>
          </w:p>
        </w:tc>
        <w:tc>
          <w:tcPr>
            <w:tcW w:type="dxa" w:w="234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USD @1.08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Marketing (Google Ads €1,069)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€1,069.00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$1,154.52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&amp; AI (OpenAI, Claude, Jina)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€290.00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$313.20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Ops &amp; infra (HubSpot, make, Atlassian, GCP)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€175.00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$189.00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Sales tooling (SalesQL, Zapmail, QEV)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€132.00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$142.56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Total tracked OpEx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€1,666.00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$1,799.28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6BE" w:sz="1"/>
              <w:left w:val="single" w:color="2E7D32" w:sz="18"/>
              <w:bottom w:val="single" w:color="E0D6BE" w:sz="1"/>
              <w:right w:val="single" w:color="E0D6BE" w:sz="1"/>
            </w:tcBorders>
            <w:shd w:fill="E9F3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Net result — net of tracked OpEx only (NOT operating profit)</w:t>
            </w:r>
          </w:p>
          <w:p>
            <w:r>
              <w:rPr>
                <w:sz w:val="18"/>
                <w:szCs w:val="18"/>
              </w:rPr>
              <w:t xml:space="preserve">$27,787.01 − $1,799.28 = </w:t>
            </w:r>
            <w:r>
              <w:rPr>
                <w:b/>
                <w:bCs/>
                <w:color w:val="2E7D32"/>
                <w:sz w:val="22"/>
                <w:szCs w:val="22"/>
              </w:rPr>
              <w:t xml:space="preserve">$25,987.73</w:t>
            </w:r>
            <w:r>
              <w:rPr>
                <w:color w:val="6B7280"/>
                <w:sz w:val="16"/>
                <w:szCs w:val="16"/>
              </w:rPr>
              <w:t xml:space="preserve">   •   93.5% contribution after tracked tooling/marketing</w:t>
            </w:r>
          </w:p>
          <w:p>
            <w:pPr>
              <w:spacing w:before="40"/>
            </w:pPr>
            <w:r>
              <w:rPr>
                <w:i/>
                <w:iCs/>
                <w:color w:val="6B7280"/>
                <w:sz w:val="15"/>
                <w:szCs w:val="15"/>
              </w:rPr>
              <w:t xml:space="preserve">This is not a gross or operating margin — CDN delivery COGS and payroll are absent from the data room.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20" w:before="80"/>
      </w:pPr>
      <w:r>
        <w:rPr>
          <w:b/>
          <w:bCs/>
          <w:sz w:val="18"/>
          <w:szCs w:val="18"/>
        </w:rPr>
        <w:t xml:space="preserve">Revenue trend — monthly (Dec 2024 – May 2026)</w:t>
      </w:r>
    </w:p>
    <w:p>
      <w:pPr>
        <w:spacing w:after="80" w:before="80"/>
        <w:jc w:val="center"/>
      </w:pPr>
      <w:r>
        <w:drawing>
          <wp:inline distT="0" distB="0" distL="0" distR="0">
            <wp:extent cx="5905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Bdr>
          <w:bottom w:val="single" w:color="16365C" w:sz="6" w:space="2"/>
        </w:pBdr>
      </w:pPr>
      <w:r>
        <w:t xml:space="preserve">B.  Trends &amp; comparisons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6BE" w:sz="1"/>
              <w:left w:val="single" w:color="2E7D32" w:sz="18"/>
              <w:bottom w:val="single" w:color="E0D6BE" w:sz="1"/>
              <w:right w:val="single" w:color="E0D6BE" w:sz="1"/>
            </w:tcBorders>
            <w:shd w:fill="E9F3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YoY (month) — May 2026 vs May 2025  •  CLEAN, trust this</w:t>
            </w:r>
          </w:p>
          <w:p>
            <w:r>
              <w:rPr>
                <w:sz w:val="18"/>
                <w:szCs w:val="18"/>
              </w:rPr>
              <w:t xml:space="preserve">$27,787.01 vs $23,053.53   →  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+$4,733.48  /  +20.5%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sz w:val="17"/>
          <w:szCs w:val="17"/>
        </w:rPr>
        <w:t xml:space="preserve">3-month block (T3M) — Mar+Apr+May 2026 vs Dec–Feb  •  PROVISIONAL (corrupted by April gap):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cantSplit/>
        </w:trPr>
        <w:tc>
          <w:tcPr>
            <w:tcW w:type="dxa" w:w="468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234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T3M (Mar $43.8K + Apr $0 + May $27.8K)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$71,631.39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Prior T3M (Dec+Jan+Feb)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$87,960.48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C62828"/>
                <w:sz w:val="18"/>
                <w:szCs w:val="18"/>
              </w:rPr>
              <w:t xml:space="preserve">−18.6%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With April backfilled (≈$31K)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≈$102.6K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≈+17%</w:t>
            </w:r>
          </w:p>
        </w:tc>
      </w:tr>
    </w:tbl>
    <w:p>
      <w:pPr>
        <w:spacing w:after="140" w:before="60"/>
      </w:pPr>
      <w:r>
        <w:rPr>
          <w:i/>
          <w:iCs/>
          <w:color w:val="6B7280"/>
          <w:sz w:val="15"/>
          <w:szCs w:val="15"/>
        </w:rPr>
        <w:t xml:space="preserve">The −18.6% headline is an artifact of the missing April batch — do not act on it until April is loaded.</w:t>
      </w:r>
    </w:p>
    <w:p>
      <w:pPr>
        <w:spacing w:after="60"/>
      </w:pPr>
      <w:r>
        <w:rPr>
          <w:b/>
          <w:bCs/>
          <w:sz w:val="17"/>
          <w:szCs w:val="17"/>
        </w:rPr>
        <w:t xml:space="preserve">Growth decomposition (material clients &gt;$500/mo)  •  PROVISIONAL: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cantSplit/>
        </w:trPr>
        <w:tc>
          <w:tcPr>
            <w:tcW w:type="dxa" w:w="468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Movement</w:t>
            </w:r>
          </w:p>
        </w:tc>
        <w:tc>
          <w:tcPr>
            <w:tcW w:type="dxa" w:w="234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234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Clients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2E7D32"/>
                <w:sz w:val="18"/>
                <w:szCs w:val="18"/>
              </w:rPr>
              <w:t xml:space="preserve">New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E7D32"/>
                <w:sz w:val="18"/>
                <w:szCs w:val="18"/>
              </w:rPr>
              <w:t xml:space="preserve">+$4,200.00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2E7D32"/>
                <w:sz w:val="18"/>
                <w:szCs w:val="18"/>
              </w:rPr>
              <w:t xml:space="preserve">Expansion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2E7D32"/>
                <w:sz w:val="18"/>
                <w:szCs w:val="18"/>
              </w:rPr>
              <w:t xml:space="preserve">+$14,418.43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C62828"/>
                <w:sz w:val="18"/>
                <w:szCs w:val="18"/>
              </w:rPr>
              <w:t xml:space="preserve">Contraction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C62828"/>
                <w:sz w:val="18"/>
                <w:szCs w:val="18"/>
              </w:rPr>
              <w:t xml:space="preserve">−$32,556.01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Churn (full logo loss)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−$0.00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Net change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−$13,937.58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14</w:t>
            </w:r>
          </w:p>
        </w:tc>
      </w:tr>
    </w:tbl>
    <w:p>
      <w:pPr>
        <w:spacing w:after="120" w:before="60"/>
      </w:pPr>
      <w:r>
        <w:rPr>
          <w:i/>
          <w:iCs/>
          <w:color w:val="6B7280"/>
          <w:sz w:val="15"/>
          <w:szCs w:val="15"/>
        </w:rPr>
        <w:t xml:space="preserve">The large contraction is almost entirely the April hole (every recurring payer is missing one month in the window). Zero churn is the real signal — no clients fully lost. Re-run after backfill.</w:t>
      </w:r>
    </w:p>
    <w:p>
      <w:pPr>
        <w:pStyle w:val="Heading2"/>
        <w:keepNext/>
        <w:pBdr>
          <w:bottom w:val="single" w:color="16365C" w:sz="6" w:space="2"/>
        </w:pBdr>
      </w:pPr>
      <w:r>
        <w:t xml:space="preserve">C. 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1900"/>
        <w:gridCol w:w="1900"/>
        <w:gridCol w:w="1880"/>
      </w:tblGrid>
      <w:tr>
        <w:trPr>
          <w:cantSplit/>
        </w:trPr>
        <w:tc>
          <w:tcPr>
            <w:tcW w:type="dxa" w:w="368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Client</w:t>
            </w:r>
          </w:p>
        </w:tc>
        <w:tc>
          <w:tcPr>
            <w:tcW w:type="dxa" w:w="190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May 2026</w:t>
            </w:r>
          </w:p>
        </w:tc>
        <w:tc>
          <w:tcPr>
            <w:tcW w:type="dxa" w:w="190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T3M (Mar–May)</w:t>
            </w:r>
          </w:p>
        </w:tc>
        <w:tc>
          <w:tcPr>
            <w:tcW w:type="dxa" w:w="188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May 2025</w:t>
            </w:r>
          </w:p>
        </w:tc>
      </w:tr>
      <w:tr>
        <w:trPr>
          <w:cantSplit/>
        </w:trP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 rabin.yor…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$4,875.98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$9,852.67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$4,743.60</w:t>
            </w:r>
          </w:p>
        </w:tc>
      </w:tr>
      <w:tr>
        <w:trPr>
          <w:cantSplit/>
        </w:trP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 eliaskhan.it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$4,675.00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$12,675.00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$5,500.00</w:t>
            </w:r>
          </w:p>
        </w:tc>
      </w:tr>
      <w:tr>
        <w:trPr>
          <w:cantSplit/>
        </w:trP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E8590C"/>
                <w:sz w:val="18"/>
                <w:szCs w:val="18"/>
              </w:rPr>
              <w:t xml:space="preserve">3  itgroup (avanquest)  ★ new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$4,000.00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$4,200.00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6B7280"/>
                <w:sz w:val="18"/>
                <w:szCs w:val="18"/>
              </w:rPr>
              <w:t xml:space="preserve">$0.00</w:t>
            </w:r>
          </w:p>
        </w:tc>
      </w:tr>
      <w:tr>
        <w:trPr>
          <w:cantSplit/>
        </w:trP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E8590C"/>
                <w:sz w:val="18"/>
                <w:szCs w:val="18"/>
              </w:rPr>
              <w:t xml:space="preserve">4  yashwanth (moengage)  ★ new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$2,250.00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$4,500.00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6B7280"/>
                <w:sz w:val="18"/>
                <w:szCs w:val="18"/>
              </w:rPr>
              <w:t xml:space="preserve">$0.00</w:t>
            </w:r>
          </w:p>
        </w:tc>
      </w:tr>
      <w:tr>
        <w:trPr>
          <w:cantSplit/>
        </w:trP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E8590C"/>
                <w:sz w:val="18"/>
                <w:szCs w:val="18"/>
              </w:rPr>
              <w:t xml:space="preserve">5  a.ruin (epom)  ★ new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$2,000.00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$4,410.55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6B7280"/>
                <w:sz w:val="18"/>
                <w:szCs w:val="18"/>
              </w:rPr>
              <w:t xml:space="preserve">$0.00</w:t>
            </w:r>
          </w:p>
        </w:tc>
      </w:tr>
      <w:tr>
        <w:trPr>
          <w:cantSplit/>
        </w:trP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E8590C"/>
                <w:sz w:val="18"/>
                <w:szCs w:val="18"/>
              </w:rPr>
              <w:t xml:space="preserve">6  secretfy.corp  ★ new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$2,000.00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$4,000.00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6B7280"/>
                <w:sz w:val="18"/>
                <w:szCs w:val="18"/>
              </w:rPr>
              <w:t xml:space="preserve">$0.00</w:t>
            </w:r>
          </w:p>
        </w:tc>
      </w:tr>
      <w:tr>
        <w:trPr>
          <w:cantSplit/>
        </w:trP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  arik.holaspark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$2,000.00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$3,500.00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$3,700.00</w:t>
            </w:r>
          </w:p>
        </w:tc>
      </w:tr>
      <w:tr>
        <w:trPr>
          <w:cantSplit/>
        </w:trP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  theqooking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$1,114.29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$2,148.02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$1,261.90</w:t>
            </w:r>
          </w:p>
        </w:tc>
      </w:tr>
      <w:tr>
        <w:trPr>
          <w:cantSplit/>
        </w:trP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E8590C"/>
                <w:sz w:val="18"/>
                <w:szCs w:val="18"/>
              </w:rPr>
              <w:t xml:space="preserve">9  manuel.skelton  ★ new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$603.00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$1,503.00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color w:val="6B7280"/>
                <w:sz w:val="18"/>
                <w:szCs w:val="18"/>
              </w:rPr>
              <w:t xml:space="preserve">$0.00</w:t>
            </w:r>
          </w:p>
        </w:tc>
      </w:tr>
      <w:tr>
        <w:trPr>
          <w:cantSplit/>
        </w:trP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 bret.cityspark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$592.56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$1,153.61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$620.20</w:t>
            </w:r>
          </w:p>
        </w:tc>
      </w:tr>
    </w:tbl>
    <w:p>
      <w:pPr>
        <w:spacing w:after="80" w:before="80"/>
      </w:pPr>
      <w:r>
        <w:rPr>
          <w:color w:val="2E7D32"/>
          <w:sz w:val="16"/>
          <w:szCs w:val="16"/>
        </w:rPr>
        <w:t xml:space="preserve">Good-news signal: 5 of the top 10 had $0 in May 2025 — these net-new accounts are the real engine behind +20.5% YoY.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40"/>
        <w:jc w:val="center"/>
      </w:pPr>
      <w:r>
        <w:rPr>
          <w:b/>
          <w:bCs/>
          <w:sz w:val="17"/>
          <w:szCs w:val="17"/>
        </w:rPr>
        <w:t xml:space="preserve">Revenue concentration (May 2026)</w:t>
      </w:r>
    </w:p>
    <w:p>
      <w:pPr>
        <w:spacing w:after="80" w:before="80"/>
        <w:jc w:val="center"/>
      </w:pPr>
      <w:r>
        <w:drawing>
          <wp:inline distT="0" distB="0" distL="0" distR="0">
            <wp:extent cx="285750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6BE" w:sz="1"/>
              <w:left w:val="single" w:color="B26A00" w:sz="18"/>
              <w:bottom w:val="single" w:color="E0D6BE" w:sz="1"/>
              <w:right w:val="single" w:color="E0D6BE" w:sz="1"/>
            </w:tcBorders>
            <w:shd w:fill="FCF3E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⚠  Concentration risk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Top-10 share 86.8%</w:t>
            </w:r>
            <w:r>
              <w:rPr>
                <w:sz w:val="16"/>
                <w:szCs w:val="16"/>
              </w:rPr>
              <w:t xml:space="preserve">  •  Top-1 share 17.5% (rabin.yor…)</w:t>
            </w:r>
          </w:p>
          <w:p>
            <w:pPr>
              <w:spacing w:before="40"/>
            </w:pPr>
            <w:r>
              <w:rPr>
                <w:sz w:val="16"/>
                <w:szCs w:val="16"/>
              </w:rPr>
              <w:t xml:space="preserve">With 87% of revenue in 10 accounts, loss of any single top account is material. Recommend a named-account QBR/retention program for the top 10 and a diversification target (top-10 &lt; 70% by year-end).</w:t>
            </w:r>
          </w:p>
        </w:tc>
      </w:tr>
    </w:tbl>
    <w:p>
      <w:pPr>
        <w:spacing w:after="80" w:before="60"/>
      </w:pPr>
      <w:r>
        <w:rPr>
          <w:i/>
          <w:iCs/>
          <w:color w:val="6B7280"/>
          <w:sz w:val="14"/>
          <w:szCs w:val="14"/>
        </w:rPr>
        <w:t xml:space="preserve">Data hygiene: one $1.00 test deal and two small negatives (−$9.24, −$12.27, likely refunds) in the log — immaterial; clean up the test record.</w:t>
      </w:r>
    </w:p>
    <w:p>
      <w:pPr>
        <w:pStyle w:val="Heading2"/>
        <w:keepNext/>
        <w:pBdr>
          <w:bottom w:val="single" w:color="16365C" w:sz="6" w:space="2"/>
        </w:pBdr>
      </w:pPr>
      <w:r>
        <w:t xml:space="preserve">D.  Run-rate &amp; forward</w:t>
      </w:r>
    </w:p>
    <w:p>
      <w:pPr>
        <w:spacing w:after="60"/>
      </w:pPr>
      <w:r>
        <w:rPr>
          <w:b/>
          <w:bCs/>
          <w:sz w:val="17"/>
          <w:szCs w:val="17"/>
        </w:rPr>
        <w:t xml:space="preserve">ARR snapshot (recurring ≈ 99.6% of book, so MRR ≈ monthly revenue):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1900"/>
        <w:gridCol w:w="1900"/>
      </w:tblGrid>
      <w:tr>
        <w:trPr>
          <w:cantSplit/>
        </w:trPr>
        <w:tc>
          <w:tcPr>
            <w:tcW w:type="dxa" w:w="556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190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MRR</w:t>
            </w:r>
          </w:p>
        </w:tc>
        <w:tc>
          <w:tcPr>
            <w:tcW w:type="dxa" w:w="190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ARR</w:t>
            </w:r>
          </w:p>
        </w:tc>
      </w:tr>
      <w:tr>
        <w:trPr>
          <w:cantSplit/>
        </w:trP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 (May 2026, provisional)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$27,787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≈$333.4K</w:t>
            </w:r>
          </w:p>
        </w:tc>
      </w:tr>
      <w:tr>
        <w:trPr>
          <w:cantSplit/>
        </w:trP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Smoothed (Jan/Feb/Mar/May, excl. April gap)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$32,640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6365C"/>
                <w:sz w:val="18"/>
                <w:szCs w:val="18"/>
              </w:rPr>
              <w:t xml:space="preserve">≈$391.7K</w:t>
            </w:r>
          </w:p>
        </w:tc>
      </w:tr>
    </w:tbl>
    <w:p>
      <w:pPr>
        <w:spacing w:after="60" w:before="60"/>
      </w:pPr>
      <w:r>
        <w:rPr>
          <w:sz w:val="16"/>
          <w:szCs w:val="16"/>
        </w:rPr>
        <w:t xml:space="preserve">Plan against ARR ≈ $390K (smoothed working run-rate); $333K is the conservative floor until April is backfilled and May reconciled.</w:t>
      </w:r>
    </w:p>
    <w:p>
      <w:pPr>
        <w:pStyle w:val="ListParagraph"/>
        <w:numPr>
          <w:ilvl w:val="0"/>
          <w:numId w:val="4"/>
        </w:numPr>
      </w:pPr>
      <w:r>
        <w:rPr>
          <w:sz w:val="18"/>
          <w:szCs w:val="18"/>
        </w:rPr>
        <w:t xml:space="preserve">Pipeline-to-ARR conversion: not computable — “Current Clients Pipeline” is a single-stage customer ledger, not a funnel. Action: stand up a sales pipeline with open stages (Lead → Qualified → Proposal → Won) to measure coverage/conversion.</w:t>
      </w:r>
    </w:p>
    <w:p>
      <w:pPr>
        <w:spacing w:after="60"/>
      </w:pPr>
      <w:r>
        <w:t xml:space="preserve"/>
      </w:r>
    </w:p>
    <w:p>
      <w:pPr>
        <w:pStyle w:val="Heading2"/>
        <w:keepNext/>
        <w:pBdr>
          <w:bottom w:val="single" w:color="16365C" w:sz="6" w:space="2"/>
        </w:pBdr>
      </w:pPr>
      <w:r>
        <w:t xml:space="preserve">E.  Unit economics &amp; efficiency</w:t>
      </w:r>
    </w:p>
    <w:p>
      <w:pPr>
        <w:pStyle w:val="ListParagraph"/>
        <w:numPr>
          <w:ilvl w:val="0"/>
          <w:numId w:val="4"/>
        </w:numPr>
      </w:pPr>
      <w:r>
        <w:rPr>
          <w:sz w:val="18"/>
          <w:szCs w:val="18"/>
        </w:rPr>
        <w:t xml:space="preserve">CAC by channel: only paid ad spend is attributable ($1,154.52 in May). Not a real CAC until new-logo counts are channel-tagged and fully-loaded S&amp;M cost (outbound tooling + people) is captured. Action: tag deals with acquisition channel; route S&amp;M payroll into the data room.</w:t>
      </w:r>
    </w:p>
    <w:p>
      <w:pPr>
        <w:pStyle w:val="ListParagraph"/>
        <w:numPr>
          <w:ilvl w:val="0"/>
          <w:numId w:val="4"/>
        </w:numPr>
      </w:pPr>
      <w:r>
        <w:rPr>
          <w:sz w:val="18"/>
          <w:szCs w:val="18"/>
        </w:rPr>
        <w:t xml:space="preserve">Tool spend vs revenue: recurring tooling ≈ $569/mo = 2.05% of MRR — under the &lt;5% target. Largest controllable line is Google Ads ($1,155); tie its continuation to attributable new-logo ARR.</w:t>
      </w:r>
    </w:p>
    <w:p>
      <w:pPr>
        <w:spacing w:after="60"/>
      </w:pPr>
      <w:r>
        <w:t xml:space="preserve"/>
      </w:r>
    </w:p>
    <w:p>
      <w:pPr>
        <w:pStyle w:val="Heading2"/>
        <w:keepNext/>
        <w:pBdr>
          <w:bottom w:val="single" w:color="16365C" w:sz="6" w:space="2"/>
        </w:pBdr>
      </w:pPr>
      <w:r>
        <w:t xml:space="preserve">F.  Cash &amp; runway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6BE" w:sz="1"/>
              <w:left w:val="single" w:color="6B7280" w:sz="18"/>
              <w:bottom w:val="single" w:color="E0D6BE" w:sz="1"/>
              <w:right w:val="single" w:color="E0D6BE" w:sz="1"/>
            </w:tcBorders>
            <w:shd w:fill="F1F2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Cash runway — not computable this cycle</w:t>
            </w:r>
          </w:p>
          <w:p>
            <w:r>
              <w:rPr>
                <w:sz w:val="16"/>
                <w:szCs w:val="16"/>
              </w:rPr>
              <w:t xml:space="preserve">Missing inputs: opening cash balance (held by YODA / banking) and fully-loaded monthly burn (payroll + CDN infrastructure COGS).</w:t>
            </w:r>
          </w:p>
          <w:p>
            <w:pPr>
              <w:spacing w:before="40"/>
            </w:pPr>
            <w:r>
              <w:rPr>
                <w:sz w:val="16"/>
                <w:szCs w:val="16"/>
              </w:rPr>
              <w:t xml:space="preserve">On tracked OpEx alone the business is cash-generative in May (+$25,988), but that ignores the two largest real cost buckets (people, delivery infra) — so it is NOT a runway statement. Action: provide opening cash + payroll + infra COGS next cycle.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keepNext/>
        <w:pBdr>
          <w:bottom w:val="single" w:color="16365C" w:sz="6" w:space="2"/>
        </w:pBdr>
      </w:pPr>
      <w:r>
        <w:t xml:space="preserve">SaaS metrics summary (May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3100"/>
        <w:gridCol w:w="1700"/>
        <w:gridCol w:w="1700"/>
      </w:tblGrid>
      <w:tr>
        <w:trPr>
          <w:cantSplit/>
        </w:trPr>
        <w:tc>
          <w:tcPr>
            <w:tcW w:type="dxa" w:w="286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0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70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700"/>
            <w:tcBorders>
              <w:top w:val="single" w:color="16365C" w:sz="1"/>
              <w:left w:val="single" w:color="16365C" w:sz="1"/>
              <w:bottom w:val="single" w:color="16365C" w:sz="1"/>
              <w:right w:val="single" w:color="16365C" w:sz="1"/>
            </w:tcBorders>
            <w:shd w:fill="1636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MRR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$27.8K prov. / $32.6K smoothed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ARR/12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6B7280"/>
                <w:sz w:val="18"/>
                <w:szCs w:val="18"/>
              </w:rPr>
              <w:t xml:space="preserve">Tracking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~$333K floor / ~$390K smoothed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10× baseline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6B7280"/>
                <w:sz w:val="18"/>
                <w:szCs w:val="18"/>
              </w:rPr>
              <w:t xml:space="preserve">Tracking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 new ARR (mo)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provisional (decomposition)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(10×−1)/12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C62828"/>
                <w:sz w:val="18"/>
                <w:szCs w:val="18"/>
              </w:rPr>
              <w:t xml:space="preserve">Blocked — April gap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NRR (T3M proxy)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75.1%  ⚠ distorted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≥110%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B26A00"/>
                <w:sz w:val="18"/>
                <w:szCs w:val="18"/>
              </w:rPr>
              <w:t xml:space="preserve">Re-run post-backfill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GRR (T3M proxy)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57.2%  ⚠ distorted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≥95%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B26A00"/>
                <w:sz w:val="18"/>
                <w:szCs w:val="18"/>
              </w:rPr>
              <w:t xml:space="preserve">Re-run post-backfill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CAC by channel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attributable yet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&lt;18mo payback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B26A00"/>
                <w:sz w:val="18"/>
                <w:szCs w:val="18"/>
              </w:rPr>
              <w:t xml:space="preserve">Needs channel tags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Magic Number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 (needs prior-Q S&amp;M)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B26A00"/>
                <w:sz w:val="18"/>
                <w:szCs w:val="18"/>
              </w:rPr>
              <w:t xml:space="preserve">Needs S&amp;M base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Rule of 40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 (needs FCF margin)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≥40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B26A00"/>
                <w:sz w:val="18"/>
                <w:szCs w:val="18"/>
              </w:rPr>
              <w:t xml:space="preserve">Needs full P&amp;L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Tool spend / revenue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2.05%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&lt;5%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✓ Pass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Concentration top-10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86.8%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(watch)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B26A00"/>
                <w:sz w:val="18"/>
                <w:szCs w:val="18"/>
              </w:rPr>
              <w:t xml:space="preserve">⚠ High</w:t>
            </w:r>
          </w:p>
        </w:tc>
      </w:tr>
    </w:tbl>
    <w:p>
      <w:pPr>
        <w:spacing w:before="240"/>
        <w:jc w:val="center"/>
      </w:pPr>
      <w:r>
        <w:rPr>
          <w:color w:val="6B7280"/>
          <w:sz w:val="15"/>
          <w:szCs w:val="15"/>
        </w:rPr>
        <w:t xml:space="preserve">— End of report —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E4" w:sz="4" w:space="6"/>
      </w:pBdr>
      <w:jc w:val="center"/>
    </w:pPr>
    <w:r>
      <w:rPr>
        <w:color w:val="6B7280"/>
        <w:sz w:val="14"/>
        <w:szCs w:val="14"/>
      </w:rPr>
      <w:t xml:space="preserve">BlazingCDN — Monthly Financial Report — May 2026   •   Confidential   •   Page </w:t>
    </w:r>
    <w:r>
      <w:rPr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636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e487848bc9e84e8c59480b1cc968b569942636d.png"/><Relationship Id="rId9" Type="http://schemas.openxmlformats.org/officeDocument/2006/relationships/image" Target="media/d4559c4a37b9c2c8b466c107f100e80201740db8.png"/><Relationship Id="rId10" Type="http://schemas.openxmlformats.org/officeDocument/2006/relationships/image" Target="media/2526a08c78bfaa4db96df7d6cf4d0f8cef641f0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2026-06-04T15:53:42.787Z</dcterms:created>
  <dcterms:modified xsi:type="dcterms:W3CDTF">2026-06-04T15:53:42.787Z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