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Методика факторного анализа увеличения бюджета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sz w:val="18"/>
        </w:rPr>
        <w:t>Краткая редакция. Полные формулы и классификатор — в расчетном файле и в подробной инструкции.</w:t>
      </w:r>
    </w:p>
    <w:p>
      <w:pPr>
        <w:spacing w:before="4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1. Что объясняет анализ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Анализ объясняет отклонение откорректированного бюджета B1 от бюджета B0, которым открыто финансирование. Промежуточные версии базу не заменяют. Новая очередь и выбывший объект выводятся из обоих бюджетов до факторов. Суммы ведутся в рублях без НДС. Проценты по кредиту в бюджет проекта не входят: такая строка, если она обнаружена в файле, выводится из периметра и фактором не называется.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Отклонение каждой статьи и итог проекта подчиняются одному тождеству: Δ = B1 − B0 = F1 + F2 + F3. Ненулевой остаток означает, что расчет не закончен. Один рубль входит только в один фактор.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Фактор</w:t>
            </w:r>
          </w:p>
        </w:tc>
        <w:tc>
          <w:tcPr>
            <w:tcW w:type="dxa" w:w="336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На что начисляется</w:t>
            </w:r>
          </w:p>
        </w:tc>
        <w:tc>
          <w:tcPr>
            <w:tcW w:type="dxa" w:w="3364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Куда не ставится</w:t>
            </w:r>
          </w:p>
        </w:tc>
      </w:tr>
      <w:tr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F1. Инфляция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Исходная программа: материалы, машины, оплата труда и тарифы против дефлятора базовой модели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Новый объем и новое решение</w:t>
            </w:r>
          </w:p>
        </w:tc>
      </w:tr>
      <w:tr>
        <w:tc>
          <w:tcPr>
            <w:tcW w:type="dxa" w:w="3364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F2. Изменения проекта</w:t>
            </w:r>
          </w:p>
        </w:tc>
        <w:tc>
          <w:tcPr>
            <w:tcW w:type="dxa" w:w="3364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Другие ТЭП, класс, названное решение, работы вне задания; при наличии РД — отступление новой ревизии от той, что была основанием бюджета. Оценка в текущих ценах</w:t>
            </w:r>
          </w:p>
        </w:tc>
        <w:tc>
          <w:tcPr>
            <w:tcW w:type="dxa" w:w="3364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Первый обсчет той же программы</w:t>
            </w:r>
          </w:p>
        </w:tc>
      </w:tr>
      <w:tr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F3. Иные причины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Срок, форс-мажор, пропуск бюджета, цена выше или ниже рынка, ставка НДС, претензии. Первое появление расчета по объемам при той же программе раскрывается отдельно как F3d</w:t>
            </w:r>
          </w:p>
        </w:tc>
        <w:tc>
          <w:tcPr>
            <w:tcW w:type="dxa" w:w="33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Повтор инфляции и изменений проекта</w:t>
            </w:r>
          </w:p>
        </w:tc>
      </w:tr>
    </w:tbl>
    <w:p>
      <w:pPr>
        <w:spacing w:before="0" w:after="40" w:line="200" w:lineRule="auto"/>
      </w:pPr>
      <w:r/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Порядок фиксируется до цифр. Сначала инфляция исходной программы. Затем изменения проекта в текущих ценах. Затем остальные причины. Удорожание нового объема из-за инфляции остается внутри F2 и второй раз в F1 не прибавляется. Если закупка дешевле индекса, F1 показывает индекс на исходном объеме, а F3 становится отрицательным.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2. Этап и тип контрактации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Этап задается только двумя фактами: есть ли рабочая документация и собрана ли стоимость как сумма «объем с листа РД × расценка». Готовность стройки и близость ввода этап не задают. Тип договора этап не заменяет.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52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Рабочая документация</w:t>
            </w:r>
          </w:p>
        </w:tc>
        <w:tc>
          <w:tcPr>
            <w:tcW w:type="dxa" w:w="252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Расчет «объем × расценка»</w:t>
            </w:r>
          </w:p>
        </w:tc>
        <w:tc>
          <w:tcPr>
            <w:tcW w:type="dxa" w:w="2523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Чем задана стоимость</w:t>
            </w:r>
          </w:p>
        </w:tc>
      </w:tr>
      <w:tr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Э1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Удельная ставка, аналог, концепция, стадия П без ведомости</w:t>
            </w:r>
          </w:p>
        </w:tc>
      </w:tr>
      <w:tr>
        <w:tc>
          <w:tcPr>
            <w:tcW w:type="dxa" w:w="2523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Э2</w:t>
            </w:r>
          </w:p>
        </w:tc>
        <w:tc>
          <w:tcPr>
            <w:tcW w:type="dxa" w:w="2523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</w:t>
            </w:r>
          </w:p>
        </w:tc>
        <w:tc>
          <w:tcPr>
            <w:tcW w:type="dxa" w:w="2523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2523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Укрупнение по видам работ, руб./м² или объект; количества не сняты с листов</w:t>
            </w:r>
          </w:p>
        </w:tc>
      </w:tr>
      <w:tr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Э3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</w:t>
            </w:r>
          </w:p>
        </w:tc>
        <w:tc>
          <w:tcPr>
            <w:tcW w:type="dxa" w:w="252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Сумма произведений объемов ведомости по РД на расценки сходится со статьей</w:t>
            </w:r>
          </w:p>
        </w:tc>
      </w:tr>
    </w:tbl>
    <w:p>
      <w:pPr>
        <w:spacing w:before="0" w:after="40" w:line="200" w:lineRule="auto"/>
      </w:pPr>
      <w:r/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Тип А — единичные расценки в ведомости договорной цены, цена зависит от количества. Тип Б — укрупненная цена по виду работ, квадратному метру или объекту, без перемера. Тип В — нет договора генподряда: прямые договоры с подрядчиками и поставщиками, каждый пакет проводится как А или Б. Реестр пакетов, поставок заказчика и затрат площадки обязан сойтись со статьей. Генподрядный процент не начисляется, если его нет в договоре; плата управляющего относится к административным затратам.</w:t>
      </w:r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Если база была на Э1 или Э2, а новый бюджет измерен по объемам, инфляция считается от паспорта или укрупненной цены исходной программы. Первый обсчет той же программы — это F3d внутри F3, а не изменение проекта. К F2 относятся только отступления от паспорта: другие ТЭП, класс, названное решение или более поздняя ревизия чертежей.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3. Формулы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Позиция, решение не изменилось. F1 = v0 × p0 × (Iex − 1). F2 = (v1 − v0) × p0 × Iex. F3 = v1 × (p1 − p0 × Iex). Iex = Ifact / Iplan: отношение индекса квартала нового бюджета к индексу квартала базы, а не индекс к базе 2001 года. Накладные и прибыль процентом отдельно не индексируются: они пересчитываются от проиндексированных прямых затрат по старым ставкам.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Замена решения. F1 считается только на снятый исходный объем. pref — текущая рыночная цена нового решения. F2 = v1 × pref − v0 × p0 × Iex. F3 = v1 × (p1 − pref).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Ориентировочный бюджет до рабочей документации. Исходный объем не восстанавливается делением суммы T0 на позднюю расценку. Паспорт: измеритель Q0, ставка a0, состав, класс и только те решения, которые прямо названы в модели, задании или концепции. F1 = a0 × Q0 × (Iex − 1). F2 = (Q1 − Q0) × (S / Q0) + U, где S — стоимость той же программы в ценах T1 без лишней площади и без замененного решения, а U — замена названного решения. F3 = B1 − B0 − F1 − F2. Внутри F3: F3d = S − a0 × Q0 × Iex.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Упрощенные суммы по проекту, они же стоят формулами на листе «Условный пример». Сумма F1 = Σ v0 × p0 × (Iex − 1) по конечным статьям. Сумма F2 = Σ (v1 × pref − v0 × p0 × Iex). Сумма F3 = (B1 − B0) − F1 − F2. Контроль: сумма F3 по строкам минус эта упрощенная сумма равна нулю.</w:t>
      </w:r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Производные статьи считаются после базы. Процент генподряда наследует уже разложенные F1, F2 и F3 и отдельно не индексируется. Лишние месяцы содержания команды и охраны относятся в F3. Использование резерва показывается положительной суммой в профильной статье и отрицательной суммой в строке резерва.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4. Две таблицы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Постатейная таблица — листы «Шаблон» и «Условный пример». Желтые ячейки — ввод по конечным строкам. Агрегаты, отклонение, доля и контроль считаются формулами. Колонки: код, наименование, базовый бюджет, откорректированный бюджет, отклонение в рублях и процентах, три фактора, контроль, причина, риск до ввода, сумма риска, комментарий, класс надежности. Контроль строки = F1 + F2 + F3 − отклонение и равен нулю. Класс А — только на этапе Э3, когда есть первичные объемы, цены и индекс. На Э1 и Э2 по строительству потолок — класс Б. Класс В — экспертный остаток, его нельзя называть установленным фактом.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Укрупненная таблица — отдельный лист «Укрупненный анализ». Те же суммы подтягиваются из постатейных строк, без повторного ввода. Наружные сети в СМР второй раз не входят. Подготовка площадки входит в СМР. Проценты по кредиту в административные затраты не входят.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5046"/>
            <w:shd w:fill="1F4E79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color w:val="FFFFFF"/>
                <w:sz w:val="16"/>
              </w:rPr>
              <w:t>Состав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СМР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Подготовка площадки, общестроительные работы, внутренние инженерные системы, технологическое оборудование</w:t>
            </w:r>
          </w:p>
        </w:tc>
      </w:tr>
      <w:tr>
        <w:tc>
          <w:tcPr>
            <w:tcW w:type="dxa" w:w="5046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ПИР</w:t>
            </w:r>
          </w:p>
        </w:tc>
        <w:tc>
          <w:tcPr>
            <w:tcW w:type="dxa" w:w="5046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Изыскания, проект, рабочая документация, экспертиза, авторский надзор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Наружные сети и ТУ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Наружные сети, технологическое присоединение, благоустройство</w:t>
            </w:r>
          </w:p>
        </w:tc>
      </w:tr>
      <w:tr>
        <w:tc>
          <w:tcPr>
            <w:tcW w:type="dxa" w:w="5046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Коммерческие</w:t>
            </w:r>
          </w:p>
        </w:tc>
        <w:tc>
          <w:tcPr>
            <w:tcW w:type="dxa" w:w="5046"/>
            <w:shd w:fill="EEF3F8" w:val="clea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Продвижение, офис продаж, брокерские комиссии</w:t>
            </w:r>
          </w:p>
        </w:tc>
      </w:tr>
      <w:tr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Административные</w:t>
            </w:r>
          </w:p>
        </w:tc>
        <w:tc>
          <w:tcPr>
            <w:tcW w:type="dxa" w:w="504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0" w:after="0" w:line="220" w:lineRule="auto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Управление, страхование, резерв, гарантии и обязательные платежи периода строительства</w:t>
            </w:r>
          </w:p>
        </w:tc>
      </w:tr>
    </w:tbl>
    <w:p>
      <w:pPr>
        <w:spacing w:before="0" w:after="40" w:line="200" w:lineRule="auto"/>
      </w:pPr>
      <w:r/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Сумма риска — возможное новое удорожание сверх уже откорректированного бюджета, в рублях. Она стоит рядом с оценкой «низкий / средний / высокий» и в тождество трех факторов не входит. Оценка: шесть признаков от 0 до 2 баллов (доля без договора, тип цены, зрелость РД, покрытие резервом, срок, претензии). 0–3 — низкий, 4–7 — средний, 8–12 — высокий. Отсутствие технических условий, отрицательная экспертиза или неизвестная плата за присоединение поднимают строку не ниже среднего уровня; два таких обстоятельства — до высокого.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5. Минимум документов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Запрашивается только то, без чего прирост нельзя разложить. Объяснительная записка документ не заменяет. Кредитный договор и расчет процентов не запрашиваются.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Всегда: протокол и файл базового бюджета с моделью и дефляторами; файл нового бюджета; справка о периметре; графики обоих срезов и причины сдвига; публикация индексов (письма Минстроя и ФГИС ЦС либо Росстат); регистр фактических затрат на дату нового бюджета.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Стройка и сети: договоры и ведомости расценок обеих дат; калькуляция существенных расценок или веса ресурсов; обе ревизии РД, реестр измов и сопоставительная ведомость объемов; спецификации, если менялся класс; технические условия и плата за присоединение; акты по закрытому объему; реестр претензий и простоев. Без генподряда — реестр прямых договоров и матрица разграничения.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ПИР и ориентировочная база: договоры на изыскания, проект, рабочую документацию и авторский надзор; оба задания; ведомость переработанных разделов с причиной. Если смет на дату базы не было — паспорт ставки, ТЭП, задание, перечень исключений из ставки и расчет стоимости той же программы S.</w:t>
      </w:r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Управление, коммерция и прочие: договоры заказчика, генподряда или управляющего и стройконтроля с базой процента; численность и помесячная стоимость команды на оба срока; медиаплан, договор брокера и отчет о площади и цене; полисы; положение о резерве и регистр его использования; договоры гарантий. Сумма без документа своей методики не называется установленной инфляцией или установленным изменением проекта.</w:t>
      </w:r>
    </w:p>
    <w:p>
      <w:pPr>
        <w:spacing w:before="80" w:after="40" w:line="240" w:lineRule="auto"/>
      </w:pPr>
      <w:r>
        <w:rPr>
          <w:rFonts w:ascii="Times New Roman" w:hAnsi="Times New Roman" w:eastAsia="Times New Roman"/>
          <w:b/>
          <w:color w:val="1F4E79"/>
          <w:sz w:val="24"/>
        </w:rPr>
        <w:t>6. Как записать вывод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В выводе указываются файлы обоих бюджетов, этап и тип контрактации существенных статей, мост «база → F1 → F2 → F3 → новый бюджет», внутри F3 отдельно сумма F3d, доля классов надежности, статьи с высоким риском и сумма этого риска. Фактор не объявляется виной стороны.</w:t>
      </w:r>
    </w:p>
    <w:p>
      <w:pPr>
        <w:spacing w:before="0" w:after="80" w:line="240" w:lineRule="auto"/>
      </w:pPr>
      <w:r>
        <w:rPr>
          <w:rFonts w:ascii="Times New Roman" w:hAnsi="Times New Roman" w:eastAsia="Times New Roman"/>
          <w:b w:val="0"/>
          <w:sz w:val="22"/>
        </w:rPr>
        <w:t>Учебный пример, млн руб. без НДС, без процентов по кредиту: 7 020 → 8 175. Отклонение 1 155, или 16,5%. Из них F1 = 535, F2 = 446, F3 = 174. Тождество 535 + 446 + 174 = 1 155. Сумма риска дальнейшего удорожания 444 и в это отклонение не входит. На листе «Контроль» расчетного файла те же величины сведены формулами и должны давать нулевой контроль.</w:t>
      </w:r>
    </w:p>
    <w:p>
      <w:pPr>
        <w:spacing w:before="4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Мост учебного примера, млн руб. без НДС: 7 020 + 535 + 446 + 174 = 8 175. Доля инфляции в приросте 46,3%, изменений проекта 38,6%, иных причин 15,1%.</w:t>
      </w:r>
    </w:p>
    <w:p>
      <w:pPr>
        <w:spacing w:before="0" w:after="60" w:line="240" w:lineRule="auto"/>
      </w:pPr>
      <w:r>
        <w:rPr>
          <w:rFonts w:ascii="Times New Roman" w:hAnsi="Times New Roman" w:eastAsia="Times New Roman"/>
          <w:b w:val="0"/>
          <w:sz w:val="22"/>
        </w:rPr>
        <w:t>Тот же итог на листе «Укрупненный анализ», млн руб.: СМР 4 820 → 5 600; ПИР 280 → 340; наружные сети и ТУ 700 → 860; коммерческие 220 → 250; административные 1 000 → 1 125. Сумма групп равна постатейному итогу.</w:t>
      </w:r>
    </w:p>
    <w:p>
      <w:pPr>
        <w:spacing w:before="0" w:after="40" w:line="240" w:lineRule="auto"/>
      </w:pPr>
      <w:r>
        <w:rPr>
          <w:rFonts w:ascii="Times New Roman" w:hAnsi="Times New Roman" w:eastAsia="Times New Roman"/>
          <w:b w:val="0"/>
          <w:sz w:val="22"/>
        </w:rPr>
        <w:t>В расчетном файле желтым отмечен ввод. Агрегаты и контроль — формулы. Таблица выпускается, когда на листе «Контроль» тождество равно нулю.</w:t>
      </w:r>
    </w:p>
    <w:p>
      <w:pPr>
        <w:spacing w:before="120" w:after="40"/>
      </w:pPr>
      <w:r>
        <w:rPr>
          <w:rFonts w:ascii="Times New Roman" w:hAnsi="Times New Roman" w:eastAsia="Times New Roman"/>
          <w:b/>
          <w:color w:val="1F4E79"/>
          <w:sz w:val="24"/>
        </w:rPr>
        <w:t>Порядок расчета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1. Зафиксировать файлы B0 и B1. Вывести из периметра новые очереди, выбывшие объекты и проценты по кредиту.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2. По каждой существенной статье определить этап Э1, Э2 или Э3 и тип контрактации А, Б или В.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3. Собрать минимум документов. Чего не хватает для имени фактора — записать в оговорки до расчета.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4. Разложить бюджет по кодам. В укрупненном своде наружные сети и ТУ держать отдельно от СМР.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5. Посчитать F1 на исходную программу, затем F2 в текущих ценах, затем F3 остатком. Первый обсчет той же программы раскрыть как F3d.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6. Проверить тождество по строке, по пяти укрупненным группам и по проекту. Ненулевой контроль расчетом не закрывать.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7. Поставить класс надежности, оценку риска и сумму риска. Сумму риска в факторы не включать.</w:t>
      </w:r>
    </w:p>
    <w:p>
      <w:pPr>
        <w:spacing w:before="0" w:after="20" w:line="240" w:lineRule="auto"/>
      </w:pPr>
      <w:r>
        <w:rPr>
          <w:rFonts w:ascii="Times New Roman" w:hAnsi="Times New Roman" w:eastAsia="Times New Roman"/>
          <w:b w:val="0"/>
          <w:sz w:val="22"/>
        </w:rPr>
        <w:t>8. В выводе записать мост, F3d, долю классов и статьи с высоким риском. Фактор виной стороны не называть.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34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595959"/>
        <w:sz w:val="16"/>
      </w:rPr>
      <w:t>Учебные цифры показывают арифметику и не являются заключением по объекту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b w:val="0"/>
        <w:color w:val="595959"/>
        <w:sz w:val="16"/>
      </w:rPr>
      <w:t>Факторный анализ увеличения бюджета  ·  руб. без НДС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