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7F3054B0" w:rsidP="34FCA3EA" w:rsidRDefault="7F3054B0" w14:paraId="059D6AD3" w14:textId="2EE2F81B">
      <w:pPr>
        <w:pStyle w:val="Title"/>
        <w:rPr>
          <w:lang w:val="en-US"/>
        </w:rPr>
      </w:pPr>
      <w:r w:rsidRPr="34FCA3EA">
        <w:rPr>
          <w:lang w:val="en-US"/>
        </w:rPr>
        <w:t>Anonymization Strategy for Discharge Reports at Erasmus MC</w:t>
      </w:r>
    </w:p>
    <w:p w:rsidRPr="00660FEA" w:rsidR="45FCEA06" w:rsidP="34FCA3EA" w:rsidRDefault="46105AF3" w14:paraId="46AB4864" w14:textId="63CC510C">
      <w:pPr>
        <w:pStyle w:val="Subtitle"/>
      </w:pPr>
      <w:r w:rsidR="46105AF3">
        <w:rPr/>
        <w:t>Authors</w:t>
      </w:r>
      <w:r w:rsidR="2D8944E3">
        <w:rPr/>
        <w:t xml:space="preserve">: </w:t>
      </w:r>
      <w:r w:rsidR="5BAF608E">
        <w:rPr/>
        <w:t xml:space="preserve">Tim Kortman, </w:t>
      </w:r>
      <w:r w:rsidR="2D8944E3">
        <w:rPr/>
        <w:t xml:space="preserve">Robert van der Boon, Lucia </w:t>
      </w:r>
      <w:r w:rsidR="2D8944E3">
        <w:rPr/>
        <w:t>Jewbali</w:t>
      </w:r>
      <w:r w:rsidR="2D8944E3">
        <w:rPr/>
        <w:t xml:space="preserve">, Nico </w:t>
      </w:r>
      <w:r w:rsidR="2D8944E3">
        <w:rPr/>
        <w:t>Bruining</w:t>
      </w:r>
    </w:p>
    <w:p w:rsidR="6210D9CF" w:rsidP="6210D9CF" w:rsidRDefault="6210D9CF" w14:paraId="52DC715D" w14:textId="68ED6CCD">
      <w:pPr>
        <w:pStyle w:val="Normal"/>
      </w:pPr>
    </w:p>
    <w:p w:rsidR="134484E5" w:rsidP="6210D9CF" w:rsidRDefault="134484E5" w14:paraId="444E29DC" w14:textId="309FFAB2">
      <w:pPr>
        <w:pStyle w:val="Normal"/>
      </w:pPr>
      <w:r w:rsidR="134484E5">
        <w:rPr/>
        <w:t xml:space="preserve">Version 1.0 </w:t>
      </w:r>
      <w:r>
        <w:tab/>
      </w:r>
      <w:r>
        <w:tab/>
      </w:r>
      <w:r w:rsidR="134484E5">
        <w:rPr/>
        <w:t>Date: 02-02-2026</w:t>
      </w:r>
    </w:p>
    <w:p w:rsidR="35874554" w:rsidP="34FCA3EA" w:rsidRDefault="35874554" w14:paraId="36F24080" w14:textId="3614451D">
      <w:pPr>
        <w:pStyle w:val="Heading1"/>
        <w:rPr>
          <w:lang w:val="en-US"/>
        </w:rPr>
      </w:pPr>
      <w:r w:rsidRPr="34FCA3EA">
        <w:rPr>
          <w:lang w:val="en-US"/>
        </w:rPr>
        <w:t>Research proposal (short)</w:t>
      </w:r>
    </w:p>
    <w:p w:rsidR="5C26A48D" w:rsidP="2905761C" w:rsidRDefault="5C26A48D" w14:paraId="018A96FC" w14:textId="699CD0DB">
      <w:pPr>
        <w:pStyle w:val="Normal"/>
        <w:jc w:val="both"/>
        <w:rPr>
          <w:lang w:val="en-US"/>
        </w:rPr>
      </w:pPr>
      <w:r w:rsidRPr="5B7C1FF0" w:rsidR="5C26A48D">
        <w:rPr>
          <w:lang w:val="en-US"/>
        </w:rPr>
        <w:t>In</w:t>
      </w:r>
      <w:r w:rsidRPr="5B7C1FF0" w:rsidR="31EA021A">
        <w:rPr>
          <w:lang w:val="en-US"/>
        </w:rPr>
        <w:t xml:space="preserve"> </w:t>
      </w:r>
      <w:r w:rsidRPr="5B7C1FF0" w:rsidR="5C26A48D">
        <w:rPr>
          <w:lang w:val="en-US"/>
        </w:rPr>
        <w:t>collaboration with an external party, we are developing a multi-agent, multi-modal clinical decision support (CDS) tool based on large language model (LLM) technology. This language model has been</w:t>
      </w:r>
      <w:r w:rsidRPr="5B7C1FF0" w:rsidR="3B87ABC9">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US"/>
        </w:rPr>
        <w:t xml:space="preserve"> </w:t>
      </w:r>
      <w:r w:rsidRPr="5B7C1FF0" w:rsidR="3B87ABC9">
        <w:rPr>
          <w:rFonts w:ascii="Aptos" w:hAnsi="Aptos" w:eastAsia="ＭＳ 明朝" w:cs="Arial" w:asciiTheme="minorAscii" w:hAnsiTheme="minorAscii" w:eastAsiaTheme="minorEastAsia" w:cstheme="minorBidi"/>
          <w:noProof w:val="0"/>
          <w:color w:val="auto"/>
          <w:sz w:val="24"/>
          <w:szCs w:val="24"/>
          <w:lang w:val="en-US" w:eastAsia="ja-JP" w:bidi="ar-SA"/>
        </w:rPr>
        <w:t xml:space="preserve">combined with Retrieval‑Augmented Generation (RAG) </w:t>
      </w:r>
      <w:r w:rsidRPr="5B7C1FF0" w:rsidR="5C26A48D">
        <w:rPr>
          <w:lang w:val="en-US"/>
        </w:rPr>
        <w:t>on international cardiology guidelines</w:t>
      </w:r>
      <w:r w:rsidRPr="5B7C1FF0" w:rsidR="36E2E980">
        <w:rPr>
          <w:lang w:val="en-US"/>
        </w:rPr>
        <w:t xml:space="preserve">. The prototype </w:t>
      </w:r>
      <w:r w:rsidRPr="5B7C1FF0" w:rsidR="5C26A48D">
        <w:rPr>
          <w:lang w:val="en-US"/>
        </w:rPr>
        <w:t xml:space="preserve">is designed to support guideline-based reasoning for cardiologists on duty in acute settings. Currently, the text-based agent has been </w:t>
      </w:r>
      <w:r w:rsidRPr="5B7C1FF0" w:rsidR="76353901">
        <w:rPr>
          <w:lang w:val="en-US"/>
        </w:rPr>
        <w:t>develop</w:t>
      </w:r>
      <w:r w:rsidRPr="5B7C1FF0" w:rsidR="5C26A48D">
        <w:rPr>
          <w:lang w:val="en-US"/>
        </w:rPr>
        <w:t xml:space="preserve">ed and tested on synthetically generated medical data. The next step is to </w:t>
      </w:r>
      <w:bookmarkStart w:name="_Int_tHyM9Lr9" w:id="0"/>
      <w:r w:rsidRPr="5B7C1FF0" w:rsidR="5C26A48D">
        <w:rPr>
          <w:lang w:val="en-US"/>
        </w:rPr>
        <w:t>validate</w:t>
      </w:r>
      <w:bookmarkEnd w:id="0"/>
      <w:r w:rsidRPr="5B7C1FF0" w:rsidR="5C26A48D">
        <w:rPr>
          <w:lang w:val="en-US"/>
        </w:rPr>
        <w:t xml:space="preserve"> the performance of this tool on real-world data</w:t>
      </w:r>
      <w:r w:rsidRPr="5B7C1FF0" w:rsidR="6070AA36">
        <w:rPr>
          <w:lang w:val="en-US"/>
        </w:rPr>
        <w:t xml:space="preserve">. </w:t>
      </w:r>
    </w:p>
    <w:p w:rsidR="5C26A48D" w:rsidP="577A3C11" w:rsidRDefault="5C26A48D" w14:paraId="20B63456" w14:textId="5FDC623F">
      <w:pPr>
        <w:jc w:val="both"/>
        <w:rPr>
          <w:lang w:val="en-US"/>
        </w:rPr>
      </w:pPr>
      <w:r w:rsidRPr="2905761C" w:rsidR="5C26A48D">
        <w:rPr>
          <w:lang w:val="en-US"/>
        </w:rPr>
        <w:t>We therefore propose a retrospective study of the digital discharge letters of all cardiology patients seen in the emergency department since the introduction of Hix</w:t>
      </w:r>
      <w:r w:rsidRPr="2905761C" w:rsidR="0D1CB1B7">
        <w:rPr>
          <w:lang w:val="en-US"/>
        </w:rPr>
        <w:t xml:space="preserve"> (2018-now)</w:t>
      </w:r>
      <w:r w:rsidRPr="2905761C" w:rsidR="5C26A48D">
        <w:rPr>
          <w:lang w:val="en-US"/>
        </w:rPr>
        <w:t>. The model focuses solely on this textual content, and outcomes are compared with the conclusion of the discharge letter. Disagreements will be assessed by an adjudication panel consisting of junior and senior cardiologists. This study primarily provides insight into how well the model follow</w:t>
      </w:r>
      <w:r w:rsidRPr="2905761C" w:rsidR="55EA0FD6">
        <w:rPr>
          <w:lang w:val="en-US"/>
        </w:rPr>
        <w:t>s</w:t>
      </w:r>
      <w:r w:rsidRPr="2905761C" w:rsidR="5C26A48D">
        <w:rPr>
          <w:lang w:val="en-US"/>
        </w:rPr>
        <w:t xml:space="preserve"> the prescribed guidelines</w:t>
      </w:r>
      <w:r w:rsidRPr="2905761C" w:rsidR="4C5A4CF1">
        <w:rPr>
          <w:lang w:val="en-US"/>
        </w:rPr>
        <w:t xml:space="preserve"> and how the model outcomes </w:t>
      </w:r>
      <w:r w:rsidRPr="2905761C" w:rsidR="4C5A4CF1">
        <w:rPr>
          <w:lang w:val="en-US"/>
        </w:rPr>
        <w:t>differ</w:t>
      </w:r>
      <w:r w:rsidRPr="2905761C" w:rsidR="4C5A4CF1">
        <w:rPr>
          <w:lang w:val="en-US"/>
        </w:rPr>
        <w:t xml:space="preserve"> from the way the Erasmus MC treated its patients</w:t>
      </w:r>
      <w:r w:rsidRPr="2905761C" w:rsidR="5C26A48D">
        <w:rPr>
          <w:lang w:val="en-US"/>
        </w:rPr>
        <w:t>.</w:t>
      </w:r>
    </w:p>
    <w:p w:rsidR="17EBAB87" w:rsidP="34FCA3EA" w:rsidRDefault="17EBAB87" w14:paraId="77337218" w14:textId="3DDDBF16">
      <w:pPr>
        <w:pStyle w:val="Heading1"/>
        <w:rPr>
          <w:lang w:val="en-US"/>
        </w:rPr>
      </w:pPr>
      <w:r w:rsidRPr="2905761C" w:rsidR="0C11C6F0">
        <w:rPr>
          <w:lang w:val="en-US"/>
        </w:rPr>
        <w:t>Anon</w:t>
      </w:r>
      <w:r w:rsidRPr="2905761C" w:rsidR="0C11C6F0">
        <w:rPr>
          <w:lang w:val="en-US"/>
        </w:rPr>
        <w:t>ymization</w:t>
      </w:r>
      <w:r w:rsidRPr="2905761C" w:rsidR="17EBAB87">
        <w:rPr>
          <w:lang w:val="en-US"/>
        </w:rPr>
        <w:t xml:space="preserve"> Pip</w:t>
      </w:r>
      <w:r w:rsidRPr="2905761C" w:rsidR="17EBAB87">
        <w:rPr>
          <w:lang w:val="en-US"/>
        </w:rPr>
        <w:t>eline</w:t>
      </w:r>
    </w:p>
    <w:p w:rsidR="4C4D7820" w:rsidP="577A3C11" w:rsidRDefault="4C4D7820" w14:paraId="6EB4FAFD" w14:textId="5EF52E2C">
      <w:pPr>
        <w:jc w:val="both"/>
        <w:rPr>
          <w:lang w:val="en-US"/>
        </w:rPr>
      </w:pPr>
      <w:r w:rsidRPr="577A3C11">
        <w:rPr>
          <w:lang w:val="en-US"/>
        </w:rPr>
        <w:t xml:space="preserve">The developed model is currently running on a server outside Erasmus MC during the testing phase. </w:t>
      </w:r>
      <w:r w:rsidRPr="577A3C11" w:rsidR="79E3B99E">
        <w:rPr>
          <w:lang w:val="en-US"/>
        </w:rPr>
        <w:t>To</w:t>
      </w:r>
      <w:r w:rsidRPr="577A3C11">
        <w:rPr>
          <w:lang w:val="en-US"/>
        </w:rPr>
        <w:t xml:space="preserve"> remain compliant with GDPR</w:t>
      </w:r>
      <w:r w:rsidRPr="577A3C11" w:rsidR="721FB990">
        <w:rPr>
          <w:lang w:val="en-US"/>
        </w:rPr>
        <w:t>/AVG</w:t>
      </w:r>
      <w:r w:rsidRPr="577A3C11">
        <w:rPr>
          <w:lang w:val="en-US"/>
        </w:rPr>
        <w:t xml:space="preserve">, letters will therefore have to be anonymized. To our knowledge, there is no standard protocol for this within EMC. We are therefore proposing our own method for </w:t>
      </w:r>
      <w:r w:rsidRPr="577A3C11" w:rsidR="7EED8175">
        <w:rPr>
          <w:lang w:val="en-US"/>
        </w:rPr>
        <w:t>careful</w:t>
      </w:r>
      <w:r w:rsidRPr="577A3C11">
        <w:rPr>
          <w:lang w:val="en-US"/>
        </w:rPr>
        <w:t xml:space="preserve"> anonymization of discharge letters. We are taking all measures that are </w:t>
      </w:r>
      <w:bookmarkStart w:name="_Int_55jfFyCv" w:id="1"/>
      <w:r w:rsidRPr="577A3C11">
        <w:rPr>
          <w:lang w:val="en-US"/>
        </w:rPr>
        <w:t>reasonably possible</w:t>
      </w:r>
      <w:bookmarkEnd w:id="1"/>
      <w:r w:rsidRPr="577A3C11">
        <w:rPr>
          <w:lang w:val="en-US"/>
        </w:rPr>
        <w:t xml:space="preserve"> with the current state of technology</w:t>
      </w:r>
      <w:r w:rsidRPr="577A3C11" w:rsidR="68A0DC28">
        <w:rPr>
          <w:lang w:val="en-US"/>
        </w:rPr>
        <w:t xml:space="preserve"> [1]</w:t>
      </w:r>
      <w:r w:rsidRPr="577A3C11" w:rsidR="2E09CDD3">
        <w:rPr>
          <w:lang w:val="en-US"/>
        </w:rPr>
        <w:t xml:space="preserve">. </w:t>
      </w:r>
    </w:p>
    <w:p w:rsidR="1F7DD0EF" w:rsidP="34FCA3EA" w:rsidRDefault="1F7DD0EF" w14:paraId="013A59F9" w14:textId="625F67AC">
      <w:pPr>
        <w:pStyle w:val="Heading2"/>
        <w:rPr>
          <w:lang w:val="en-US"/>
        </w:rPr>
      </w:pPr>
      <w:r w:rsidRPr="34FCA3EA">
        <w:rPr>
          <w:lang w:val="en-US"/>
        </w:rPr>
        <w:t xml:space="preserve">Automated </w:t>
      </w:r>
      <w:r w:rsidRPr="34FCA3EA" w:rsidR="14C153C2">
        <w:rPr>
          <w:lang w:val="en-US"/>
        </w:rPr>
        <w:t>anonymization</w:t>
      </w:r>
    </w:p>
    <w:p w:rsidR="7817C5E6" w:rsidP="577A3C11" w:rsidRDefault="7817C5E6" w14:paraId="5D2CE2C5" w14:textId="58323FDB">
      <w:pPr>
        <w:shd w:val="clear" w:color="auto" w:fill="FFFFFF" w:themeFill="background1"/>
        <w:spacing w:after="0"/>
        <w:jc w:val="both"/>
        <w:rPr>
          <w:lang w:val="en-US"/>
        </w:rPr>
      </w:pPr>
      <w:r w:rsidRPr="577A3C11">
        <w:rPr>
          <w:lang w:val="en-US"/>
        </w:rPr>
        <w:t xml:space="preserve">First, data </w:t>
      </w:r>
      <w:r w:rsidRPr="577A3C11" w:rsidR="2724A693">
        <w:rPr>
          <w:lang w:val="en-US"/>
        </w:rPr>
        <w:t xml:space="preserve">are </w:t>
      </w:r>
      <w:r w:rsidRPr="577A3C11">
        <w:rPr>
          <w:lang w:val="en-US"/>
        </w:rPr>
        <w:t xml:space="preserve">extracted from the EPD and internal pseudonymization is performed. </w:t>
      </w:r>
      <w:r w:rsidRPr="577A3C11" w:rsidR="66AB9CE3">
        <w:rPr>
          <w:lang w:val="en-US"/>
        </w:rPr>
        <w:t xml:space="preserve">All discharge reports are assigned to a unique study code. The key table (linking patient IDs to study codes) is stored on a secure, restricted-access folder within the Erasmus MC network, accessible only to the Principal Investigator (PI) and the </w:t>
      </w:r>
      <w:r w:rsidRPr="577A3C11" w:rsidR="3AD21E80">
        <w:rPr>
          <w:lang w:val="en-US"/>
        </w:rPr>
        <w:t>data manager</w:t>
      </w:r>
      <w:r w:rsidRPr="577A3C11" w:rsidR="66AB9CE3">
        <w:rPr>
          <w:lang w:val="en-US"/>
        </w:rPr>
        <w:t xml:space="preserve">. </w:t>
      </w:r>
    </w:p>
    <w:p w:rsidR="0629DD0A" w:rsidP="577A3C11" w:rsidRDefault="0629DD0A" w14:paraId="4CA66BA4" w14:textId="3D8F892B">
      <w:pPr>
        <w:shd w:val="clear" w:color="auto" w:fill="FFFFFF" w:themeFill="background1"/>
        <w:spacing w:after="0"/>
        <w:jc w:val="both"/>
        <w:rPr>
          <w:lang w:val="en-US"/>
        </w:rPr>
      </w:pPr>
      <w:r w:rsidRPr="577A3C11">
        <w:rPr>
          <w:lang w:val="en-US"/>
        </w:rPr>
        <w:t>Note that we want to perform ou</w:t>
      </w:r>
      <w:r w:rsidRPr="577A3C11" w:rsidR="5849C045">
        <w:rPr>
          <w:lang w:val="en-US"/>
        </w:rPr>
        <w:t xml:space="preserve">r study under </w:t>
      </w:r>
      <w:r w:rsidRPr="577A3C11" w:rsidR="62808FD9">
        <w:rPr>
          <w:lang w:val="en-US"/>
        </w:rPr>
        <w:t>“</w:t>
      </w:r>
      <w:r w:rsidRPr="577A3C11" w:rsidR="0F6DB6A0">
        <w:rPr>
          <w:lang w:val="en-US"/>
        </w:rPr>
        <w:t>exception</w:t>
      </w:r>
      <w:r w:rsidRPr="577A3C11" w:rsidR="5849C045">
        <w:rPr>
          <w:lang w:val="en-US"/>
        </w:rPr>
        <w:t xml:space="preserve"> consent</w:t>
      </w:r>
      <w:r w:rsidRPr="577A3C11" w:rsidR="4E02C526">
        <w:rPr>
          <w:lang w:val="en-US"/>
        </w:rPr>
        <w:t>”</w:t>
      </w:r>
      <w:r w:rsidRPr="577A3C11" w:rsidR="5849C045">
        <w:rPr>
          <w:lang w:val="en-US"/>
        </w:rPr>
        <w:t xml:space="preserve"> with </w:t>
      </w:r>
      <w:r w:rsidRPr="577A3C11" w:rsidR="4FE0631E">
        <w:rPr>
          <w:lang w:val="en-US"/>
        </w:rPr>
        <w:t>an opt</w:t>
      </w:r>
      <w:r w:rsidRPr="577A3C11" w:rsidR="5849C045">
        <w:rPr>
          <w:lang w:val="en-US"/>
        </w:rPr>
        <w:t xml:space="preserve">-out check, so any patient with </w:t>
      </w:r>
      <w:r w:rsidRPr="577A3C11" w:rsidR="03B64078">
        <w:rPr>
          <w:lang w:val="en-US"/>
        </w:rPr>
        <w:t xml:space="preserve">registered </w:t>
      </w:r>
      <w:r w:rsidRPr="577A3C11" w:rsidR="5849C045">
        <w:rPr>
          <w:lang w:val="en-US"/>
        </w:rPr>
        <w:t xml:space="preserve">objection to reuse their </w:t>
      </w:r>
      <w:r w:rsidRPr="577A3C11" w:rsidR="0090D1B1">
        <w:rPr>
          <w:lang w:val="en-US"/>
        </w:rPr>
        <w:t>medical data is excluded.</w:t>
      </w:r>
      <w:r w:rsidRPr="00660FEA">
        <w:rPr>
          <w:lang w:val="en-US"/>
        </w:rPr>
        <w:br/>
      </w:r>
      <w:r w:rsidRPr="577A3C11" w:rsidR="379E8D19">
        <w:rPr>
          <w:lang w:val="en-US"/>
        </w:rPr>
        <w:t xml:space="preserve">Before data then leaves het Erasmus MC environment, it undergoes a two-phase anonymization process. </w:t>
      </w:r>
      <w:r w:rsidRPr="577A3C11" w:rsidR="00E76FF3">
        <w:rPr>
          <w:lang w:val="en-US"/>
        </w:rPr>
        <w:t>The automated</w:t>
      </w:r>
      <w:r w:rsidRPr="577A3C11" w:rsidR="32C8C1ED">
        <w:rPr>
          <w:lang w:val="en-US"/>
        </w:rPr>
        <w:t xml:space="preserve"> stage of anonymization will be performed by a Named Entity Recognition (NER) algorithm</w:t>
      </w:r>
      <w:r w:rsidRPr="577A3C11" w:rsidR="7F0EC5EE">
        <w:rPr>
          <w:lang w:val="en-US"/>
        </w:rPr>
        <w:t xml:space="preserve">. </w:t>
      </w:r>
      <w:r w:rsidRPr="577A3C11" w:rsidR="60CB8B95">
        <w:rPr>
          <w:lang w:val="en-US"/>
        </w:rPr>
        <w:t>We found an open-source anonymization tool developed by the UMC Utrecht called DEDUCE</w:t>
      </w:r>
      <w:r w:rsidRPr="577A3C11" w:rsidR="7DFAD3CA">
        <w:rPr>
          <w:lang w:val="en-US"/>
        </w:rPr>
        <w:t xml:space="preserve"> [</w:t>
      </w:r>
      <w:r w:rsidRPr="577A3C11" w:rsidR="5A107331">
        <w:rPr>
          <w:lang w:val="en-US"/>
        </w:rPr>
        <w:t>2</w:t>
      </w:r>
      <w:r w:rsidRPr="577A3C11" w:rsidR="7DFAD3CA">
        <w:rPr>
          <w:lang w:val="en-US"/>
        </w:rPr>
        <w:t>]</w:t>
      </w:r>
      <w:r w:rsidRPr="577A3C11" w:rsidR="60CB8B95">
        <w:rPr>
          <w:lang w:val="en-US"/>
        </w:rPr>
        <w:t>. This sof</w:t>
      </w:r>
      <w:r w:rsidRPr="577A3C11" w:rsidR="7F46ED70">
        <w:rPr>
          <w:lang w:val="en-US"/>
        </w:rPr>
        <w:t xml:space="preserve">tware </w:t>
      </w:r>
      <w:r w:rsidRPr="577A3C11" w:rsidR="56AC4774">
        <w:rPr>
          <w:lang w:val="en-US"/>
        </w:rPr>
        <w:t xml:space="preserve">is designed for </w:t>
      </w:r>
      <w:r w:rsidRPr="577A3C11" w:rsidR="6BCF2D13">
        <w:rPr>
          <w:lang w:val="en-US"/>
        </w:rPr>
        <w:t>Dutch</w:t>
      </w:r>
      <w:r w:rsidRPr="577A3C11" w:rsidR="56AC4774">
        <w:rPr>
          <w:lang w:val="en-US"/>
        </w:rPr>
        <w:t xml:space="preserve"> health reports, </w:t>
      </w:r>
      <w:r w:rsidRPr="577A3C11" w:rsidR="7F46ED70">
        <w:rPr>
          <w:lang w:val="en-US"/>
        </w:rPr>
        <w:t xml:space="preserve">can be </w:t>
      </w:r>
      <w:r w:rsidRPr="577A3C11" w:rsidR="7FAD0BE0">
        <w:rPr>
          <w:lang w:val="en-US"/>
        </w:rPr>
        <w:t xml:space="preserve">run </w:t>
      </w:r>
      <w:r w:rsidRPr="577A3C11" w:rsidR="737CF364">
        <w:rPr>
          <w:lang w:val="en-US"/>
        </w:rPr>
        <w:t xml:space="preserve">safe in a local environment </w:t>
      </w:r>
      <w:r w:rsidRPr="577A3C11" w:rsidR="73833857">
        <w:rPr>
          <w:lang w:val="en-US"/>
        </w:rPr>
        <w:t>and</w:t>
      </w:r>
      <w:r w:rsidRPr="577A3C11" w:rsidR="737CF364">
        <w:rPr>
          <w:lang w:val="en-US"/>
        </w:rPr>
        <w:t xml:space="preserve"> allows adjustments of functionality.</w:t>
      </w:r>
      <w:r w:rsidRPr="577A3C11" w:rsidR="7F46ED70">
        <w:rPr>
          <w:lang w:val="en-US"/>
        </w:rPr>
        <w:t xml:space="preserve"> </w:t>
      </w:r>
      <w:r w:rsidRPr="577A3C11" w:rsidR="182A5145">
        <w:rPr>
          <w:lang w:val="en-US"/>
        </w:rPr>
        <w:t xml:space="preserve">For example, DEDUCE </w:t>
      </w:r>
      <w:r w:rsidRPr="577A3C11" w:rsidR="15B723DB">
        <w:rPr>
          <w:lang w:val="en-US"/>
        </w:rPr>
        <w:t>does not</w:t>
      </w:r>
      <w:r w:rsidRPr="577A3C11" w:rsidR="182A5145">
        <w:rPr>
          <w:lang w:val="en-US"/>
        </w:rPr>
        <w:t xml:space="preserve"> make </w:t>
      </w:r>
      <w:r w:rsidRPr="577A3C11" w:rsidR="7AD5FA55">
        <w:rPr>
          <w:lang w:val="en-US"/>
        </w:rPr>
        <w:t xml:space="preserve">external </w:t>
      </w:r>
      <w:r w:rsidRPr="577A3C11" w:rsidR="182A5145">
        <w:rPr>
          <w:lang w:val="en-US"/>
        </w:rPr>
        <w:t>API calls</w:t>
      </w:r>
      <w:r w:rsidRPr="577A3C11" w:rsidR="46788D67">
        <w:rPr>
          <w:lang w:val="en-US"/>
        </w:rPr>
        <w:t xml:space="preserve"> and writes only cache files locally. The u</w:t>
      </w:r>
      <w:r w:rsidRPr="577A3C11" w:rsidR="7F0EC5EE">
        <w:rPr>
          <w:lang w:val="en-US"/>
        </w:rPr>
        <w:t>se</w:t>
      </w:r>
      <w:r w:rsidRPr="577A3C11" w:rsidR="32C8C1ED">
        <w:rPr>
          <w:lang w:val="en-US"/>
        </w:rPr>
        <w:t xml:space="preserve"> </w:t>
      </w:r>
      <w:r w:rsidRPr="577A3C11" w:rsidR="7F0EC5EE">
        <w:rPr>
          <w:lang w:val="en-US"/>
        </w:rPr>
        <w:t xml:space="preserve">of this software will adhere to </w:t>
      </w:r>
      <w:r w:rsidRPr="577A3C11" w:rsidR="32C8C1ED">
        <w:rPr>
          <w:lang w:val="en-US"/>
        </w:rPr>
        <w:t>the HIPAA Safe Harbor standard for identification criteria</w:t>
      </w:r>
      <w:r w:rsidRPr="577A3C11" w:rsidR="2A993216">
        <w:rPr>
          <w:lang w:val="en-US"/>
        </w:rPr>
        <w:t xml:space="preserve"> [3]</w:t>
      </w:r>
      <w:r w:rsidRPr="577A3C11" w:rsidR="32C8C1ED">
        <w:rPr>
          <w:lang w:val="en-US"/>
        </w:rPr>
        <w:t>.</w:t>
      </w:r>
      <w:r w:rsidRPr="577A3C11" w:rsidR="43FFE368">
        <w:rPr>
          <w:lang w:val="en-US"/>
        </w:rPr>
        <w:t xml:space="preserve"> </w:t>
      </w:r>
    </w:p>
    <w:p w:rsidR="22A2A707" w:rsidP="577A3C11" w:rsidRDefault="22A2A707" w14:paraId="40871742" w14:textId="017EC59F">
      <w:pPr>
        <w:pStyle w:val="Heading2"/>
        <w:jc w:val="both"/>
        <w:rPr>
          <w:lang w:val="en-US"/>
        </w:rPr>
      </w:pPr>
      <w:r w:rsidRPr="577A3C11">
        <w:rPr>
          <w:lang w:val="en-US"/>
        </w:rPr>
        <w:t>Identifiers</w:t>
      </w:r>
    </w:p>
    <w:p w:rsidR="46D9606F" w:rsidP="577A3C11" w:rsidRDefault="46D9606F" w14:paraId="4DB11FC3" w14:textId="540B87B6">
      <w:pPr>
        <w:shd w:val="clear" w:color="auto" w:fill="FFFFFF" w:themeFill="background1"/>
        <w:spacing w:after="0"/>
        <w:jc w:val="both"/>
        <w:rPr>
          <w:lang w:val="en-US"/>
        </w:rPr>
      </w:pPr>
      <w:r w:rsidRPr="577A3C11">
        <w:rPr>
          <w:lang w:val="en-US"/>
        </w:rPr>
        <w:t xml:space="preserve">During the automated anonymization stage, identifiers are categorized based on their relevance to clinical reasoning. Direct identifiers, such as personal and contact details, hold no clinical </w:t>
      </w:r>
      <w:r w:rsidRPr="577A3C11" w:rsidR="3F8B379D">
        <w:rPr>
          <w:lang w:val="en-US"/>
        </w:rPr>
        <w:t>utility,</w:t>
      </w:r>
      <w:r w:rsidRPr="577A3C11">
        <w:rPr>
          <w:lang w:val="en-US"/>
        </w:rPr>
        <w:t xml:space="preserve"> and will be fully redacted. Conversely, clinically significant data—including medical history and pharmacological therapy—will be preserved to maintain the diagnostic integrity required for the model's reasoning. Quasi-identifiers, such as age and socio-demographic markers, will be transformed into generalized categories. To safeguard privacy while preserving the chronological logic essential for clinical assessment, absolute dates will undergo temporal shifting into relative </w:t>
      </w:r>
      <w:bookmarkStart w:name="_Int_vZeOaOtF" w:id="2"/>
      <w:r w:rsidRPr="577A3C11">
        <w:rPr>
          <w:lang w:val="en-US"/>
        </w:rPr>
        <w:t>timeframes</w:t>
      </w:r>
      <w:bookmarkEnd w:id="2"/>
      <w:r w:rsidRPr="577A3C11">
        <w:rPr>
          <w:lang w:val="en-US"/>
        </w:rPr>
        <w:t>.</w:t>
      </w:r>
    </w:p>
    <w:p w:rsidR="3B5B4786" w:rsidP="577A3C11" w:rsidRDefault="3B5B4786" w14:paraId="11AB15C9" w14:textId="2E5CAEA8">
      <w:pPr>
        <w:pStyle w:val="Heading2"/>
        <w:jc w:val="both"/>
        <w:rPr>
          <w:rFonts w:asciiTheme="minorHAnsi" w:hAnsiTheme="minorHAnsi" w:eastAsiaTheme="minorEastAsia" w:cstheme="minorBidi"/>
          <w:color w:val="auto"/>
          <w:sz w:val="24"/>
          <w:szCs w:val="24"/>
          <w:lang w:val="en-US"/>
        </w:rPr>
      </w:pPr>
      <w:r w:rsidRPr="577A3C11">
        <w:rPr>
          <w:lang w:val="en-US"/>
        </w:rPr>
        <w:t>Manual anonymization</w:t>
      </w:r>
    </w:p>
    <w:p w:rsidR="6AB6DBF2" w:rsidP="577A3C11" w:rsidRDefault="6AB6DBF2" w14:paraId="43F991CE" w14:textId="593D3D8A">
      <w:pPr>
        <w:shd w:val="clear" w:color="auto" w:fill="FFFFFF" w:themeFill="background1"/>
        <w:spacing w:after="0"/>
        <w:jc w:val="both"/>
        <w:rPr>
          <w:lang w:val="en-US"/>
        </w:rPr>
      </w:pPr>
      <w:r w:rsidRPr="577A3C11">
        <w:rPr>
          <w:lang w:val="en-US"/>
        </w:rPr>
        <w:t>Normally</w:t>
      </w:r>
      <w:r w:rsidRPr="577A3C11" w:rsidR="566D8364">
        <w:rPr>
          <w:lang w:val="en-US"/>
        </w:rPr>
        <w:t xml:space="preserve">, </w:t>
      </w:r>
      <w:r w:rsidRPr="577A3C11" w:rsidR="2E165AD1">
        <w:rPr>
          <w:lang w:val="en-US"/>
        </w:rPr>
        <w:t>performance</w:t>
      </w:r>
      <w:r w:rsidRPr="577A3C11" w:rsidR="566D8364">
        <w:rPr>
          <w:lang w:val="en-US"/>
        </w:rPr>
        <w:t xml:space="preserve"> of an </w:t>
      </w:r>
      <w:r w:rsidRPr="577A3C11" w:rsidR="5B1A60CE">
        <w:rPr>
          <w:lang w:val="en-US"/>
        </w:rPr>
        <w:t xml:space="preserve">anonymization </w:t>
      </w:r>
      <w:r w:rsidRPr="577A3C11" w:rsidR="566D8364">
        <w:rPr>
          <w:lang w:val="en-US"/>
        </w:rPr>
        <w:t>tool is assessed with the recall of a sample</w:t>
      </w:r>
      <w:r w:rsidRPr="577A3C11" w:rsidR="2B20602F">
        <w:rPr>
          <w:lang w:val="en-US"/>
        </w:rPr>
        <w:t xml:space="preserve"> [</w:t>
      </w:r>
      <w:r w:rsidRPr="577A3C11" w:rsidR="11E262B7">
        <w:rPr>
          <w:lang w:val="en-US"/>
        </w:rPr>
        <w:t>4</w:t>
      </w:r>
      <w:r w:rsidRPr="577A3C11" w:rsidR="2B20602F">
        <w:rPr>
          <w:lang w:val="en-US"/>
        </w:rPr>
        <w:t>]</w:t>
      </w:r>
      <w:r w:rsidRPr="577A3C11" w:rsidR="566D8364">
        <w:rPr>
          <w:lang w:val="en-US"/>
        </w:rPr>
        <w:t xml:space="preserve">. </w:t>
      </w:r>
      <w:r w:rsidRPr="577A3C11" w:rsidR="3283EE23">
        <w:rPr>
          <w:lang w:val="en-US"/>
        </w:rPr>
        <w:t>However, because we are only satisfied with a 100% recall of personal information for all data points, we manually check all letters.</w:t>
      </w:r>
      <w:r w:rsidRPr="577A3C11" w:rsidR="4FEAC83D">
        <w:rPr>
          <w:lang w:val="en-US"/>
        </w:rPr>
        <w:t xml:space="preserve"> </w:t>
      </w:r>
    </w:p>
    <w:p w:rsidRPr="000D2C29" w:rsidR="15695515" w:rsidP="577A3C11" w:rsidRDefault="15695515" w14:paraId="036B57A3" w14:textId="53BA3258">
      <w:pPr>
        <w:shd w:val="clear" w:color="auto" w:fill="FFFFFF" w:themeFill="background1"/>
        <w:spacing w:after="0"/>
        <w:jc w:val="both"/>
        <w:rPr>
          <w:lang w:val="en-US"/>
        </w:rPr>
      </w:pPr>
      <w:r w:rsidRPr="577A3C11">
        <w:rPr>
          <w:lang w:val="en-US"/>
        </w:rPr>
        <w:t xml:space="preserve">Second stage manual anonymization will be performed by two independent assessors. This stage includes </w:t>
      </w:r>
      <w:r w:rsidRPr="577A3C11" w:rsidR="02A9BA50">
        <w:rPr>
          <w:lang w:val="en-US"/>
        </w:rPr>
        <w:t xml:space="preserve">the potential correction for </w:t>
      </w:r>
      <w:r w:rsidRPr="577A3C11" w:rsidR="609F316A">
        <w:rPr>
          <w:lang w:val="en-US"/>
        </w:rPr>
        <w:t xml:space="preserve">any </w:t>
      </w:r>
      <w:r w:rsidRPr="577A3C11">
        <w:rPr>
          <w:lang w:val="en-US"/>
        </w:rPr>
        <w:t>residual identifiers</w:t>
      </w:r>
      <w:r w:rsidRPr="577A3C11" w:rsidR="08829E5E">
        <w:rPr>
          <w:lang w:val="en-US"/>
        </w:rPr>
        <w:t xml:space="preserve"> or derivatives </w:t>
      </w:r>
      <w:r w:rsidRPr="577A3C11" w:rsidR="78C15A31">
        <w:rPr>
          <w:lang w:val="en-US"/>
        </w:rPr>
        <w:t>thereof</w:t>
      </w:r>
      <w:r w:rsidRPr="577A3C11">
        <w:rPr>
          <w:lang w:val="en-US"/>
        </w:rPr>
        <w:t xml:space="preserve"> and generalizing possible other indirect identifiers</w:t>
      </w:r>
      <w:r w:rsidRPr="577A3C11" w:rsidR="6A77F117">
        <w:rPr>
          <w:lang w:val="en-US"/>
        </w:rPr>
        <w:t xml:space="preserve"> not found by DEDUCE</w:t>
      </w:r>
      <w:r w:rsidRPr="577A3C11" w:rsidR="616585EC">
        <w:rPr>
          <w:lang w:val="en-US"/>
        </w:rPr>
        <w:t xml:space="preserve"> / HIPAA standards</w:t>
      </w:r>
      <w:r w:rsidRPr="577A3C11" w:rsidR="6A77F117">
        <w:rPr>
          <w:lang w:val="en-US"/>
        </w:rPr>
        <w:t>. These other identifiers can include</w:t>
      </w:r>
      <w:r w:rsidRPr="577A3C11">
        <w:rPr>
          <w:lang w:val="en-US"/>
        </w:rPr>
        <w:t xml:space="preserve"> extreme rare co-mobilities or exceptional statuses</w:t>
      </w:r>
      <w:r w:rsidRPr="577A3C11" w:rsidR="0AFEC75D">
        <w:rPr>
          <w:lang w:val="en-US"/>
        </w:rPr>
        <w:t xml:space="preserve"> that can be traced back to individuals</w:t>
      </w:r>
      <w:r w:rsidRPr="577A3C11">
        <w:rPr>
          <w:lang w:val="en-US"/>
        </w:rPr>
        <w:t>.</w:t>
      </w:r>
    </w:p>
    <w:p w:rsidRPr="00AE24F7" w:rsidR="3E7C373E" w:rsidP="577A3C11" w:rsidRDefault="3E7C373E" w14:paraId="1C0C08E9" w14:textId="2670545C">
      <w:pPr>
        <w:shd w:val="clear" w:color="auto" w:fill="FFFFFF" w:themeFill="background1"/>
        <w:spacing w:after="0"/>
        <w:jc w:val="both"/>
        <w:rPr>
          <w:lang w:val="en-US"/>
        </w:rPr>
      </w:pPr>
      <w:r w:rsidRPr="00AE24F7">
        <w:rPr>
          <w:lang w:val="en-US"/>
        </w:rPr>
        <w:t xml:space="preserve">The strategy that can be applied here is the more dynamic perspective </w:t>
      </w:r>
      <w:r w:rsidRPr="00AE24F7" w:rsidR="41B50144">
        <w:rPr>
          <w:lang w:val="en-US"/>
        </w:rPr>
        <w:t xml:space="preserve">for anonymization assessment </w:t>
      </w:r>
      <w:r w:rsidRPr="00AE24F7">
        <w:rPr>
          <w:lang w:val="en-US"/>
        </w:rPr>
        <w:t>as described by the Court of Justice of the European Union [</w:t>
      </w:r>
      <w:r w:rsidRPr="00AE24F7" w:rsidR="3D23C0AC">
        <w:rPr>
          <w:lang w:val="en-US"/>
        </w:rPr>
        <w:t>5</w:t>
      </w:r>
      <w:r w:rsidRPr="00AE24F7">
        <w:rPr>
          <w:lang w:val="en-US"/>
        </w:rPr>
        <w:t xml:space="preserve">]. For each letter, we examine whether the recipient, with his/her available means, </w:t>
      </w:r>
      <w:bookmarkStart w:name="_Int_egC39xKH" w:id="3"/>
      <w:r w:rsidRPr="00AE24F7">
        <w:rPr>
          <w:lang w:val="en-US"/>
        </w:rPr>
        <w:t>is able to</w:t>
      </w:r>
      <w:bookmarkEnd w:id="3"/>
      <w:r w:rsidRPr="00AE24F7">
        <w:rPr>
          <w:lang w:val="en-US"/>
        </w:rPr>
        <w:t xml:space="preserve"> re-identify the information, thereby adding a subjective “putting oneself in the shoes of” perspective to the objective automated method.</w:t>
      </w:r>
    </w:p>
    <w:p w:rsidR="7F06B207" w:rsidP="577A3C11" w:rsidRDefault="7F06B207" w14:paraId="4C677A1A" w14:textId="05EEADEE">
      <w:pPr>
        <w:pStyle w:val="Heading2"/>
        <w:jc w:val="both"/>
        <w:rPr>
          <w:sz w:val="36"/>
          <w:szCs w:val="36"/>
          <w:lang w:val="en-US"/>
        </w:rPr>
      </w:pPr>
      <w:r w:rsidRPr="577A3C11">
        <w:rPr>
          <w:sz w:val="36"/>
          <w:szCs w:val="36"/>
          <w:lang w:val="en-US"/>
        </w:rPr>
        <w:t>Synthetic alternative</w:t>
      </w:r>
    </w:p>
    <w:p w:rsidRPr="00AE24F7" w:rsidR="1848EA4D" w:rsidP="577A3C11" w:rsidRDefault="2D9563BF" w14:paraId="24A90572" w14:textId="3FCD60CA">
      <w:pPr>
        <w:jc w:val="both"/>
        <w:rPr>
          <w:lang w:val="en-US"/>
        </w:rPr>
      </w:pPr>
      <w:r w:rsidRPr="577A3C11">
        <w:rPr>
          <w:lang w:val="en-US"/>
        </w:rPr>
        <w:t xml:space="preserve">Critical evaluation of AI models on real-world clinical data is the cornerstone for </w:t>
      </w:r>
      <w:r w:rsidRPr="577A3C11" w:rsidR="59F3F669">
        <w:rPr>
          <w:lang w:val="en-US"/>
        </w:rPr>
        <w:t>bringing</w:t>
      </w:r>
      <w:r w:rsidRPr="577A3C11">
        <w:rPr>
          <w:lang w:val="en-US"/>
        </w:rPr>
        <w:t xml:space="preserve"> AI into the clinic. Without mimicking actual clinical reality, we cannot prepare the model for the next step in that direction. Because the model has already been tested and trained on synthetic discharge letters, validating it with the same type of data is not effective.</w:t>
      </w:r>
    </w:p>
    <w:p w:rsidR="1848EA4D" w:rsidP="577A3C11" w:rsidRDefault="1848EA4D" w14:paraId="1CF51365" w14:textId="2A03C712">
      <w:pPr>
        <w:rPr>
          <w:lang w:val="en-US"/>
        </w:rPr>
      </w:pPr>
    </w:p>
    <w:p w:rsidR="1848EA4D" w:rsidP="34FCA3EA" w:rsidRDefault="329A700E" w14:paraId="4310325C" w14:textId="578C8E64">
      <w:pPr>
        <w:jc w:val="center"/>
      </w:pPr>
      <w:r>
        <w:rPr>
          <w:noProof/>
        </w:rPr>
        <w:drawing>
          <wp:inline distT="0" distB="0" distL="0" distR="0" wp14:anchorId="651190A7" wp14:editId="2307AAD1">
            <wp:extent cx="5255327" cy="5876925"/>
            <wp:effectExtent l="0" t="0" r="0" b="0"/>
            <wp:docPr id="818434573" name="drawing">
              <a:extLst xmlns:a="http://schemas.openxmlformats.org/drawingml/2006/main">
                <a:ext uri="{FF2B5EF4-FFF2-40B4-BE49-F238E27FC236}">
                  <a16:creationId xmlns:a16="http://schemas.microsoft.com/office/drawing/2014/main" id="{8D0730E0-286C-4797-9AC1-BAA58FDC98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4573" name="Picture 818434573"/>
                    <pic:cNvPicPr/>
                  </pic:nvPicPr>
                  <pic:blipFill>
                    <a:blip r:embed="rId8">
                      <a:extLst>
                        <a:ext uri="{28A0092B-C50C-407E-A947-70E740481C1C}">
                          <a14:useLocalDpi xmlns:a14="http://schemas.microsoft.com/office/drawing/2010/main"/>
                        </a:ext>
                      </a:extLst>
                    </a:blip>
                    <a:stretch>
                      <a:fillRect/>
                    </a:stretch>
                  </pic:blipFill>
                  <pic:spPr>
                    <a:xfrm>
                      <a:off x="0" y="0"/>
                      <a:ext cx="5255327" cy="5876925"/>
                    </a:xfrm>
                    <a:prstGeom prst="rect">
                      <a:avLst/>
                    </a:prstGeom>
                  </pic:spPr>
                </pic:pic>
              </a:graphicData>
            </a:graphic>
          </wp:inline>
        </w:drawing>
      </w:r>
    </w:p>
    <w:p w:rsidRPr="00AE24F7" w:rsidR="1848EA4D" w:rsidP="34FCA3EA" w:rsidRDefault="2D7A1827" w14:paraId="104BFB0C" w14:textId="721F5581">
      <w:pPr>
        <w:jc w:val="center"/>
        <w:rPr>
          <w:lang w:val="en-US"/>
        </w:rPr>
      </w:pPr>
      <w:r w:rsidRPr="577A3C11">
        <w:rPr>
          <w:lang w:val="en-US"/>
        </w:rPr>
        <w:t xml:space="preserve">Figure 1: Schematic overview of the </w:t>
      </w:r>
      <w:r w:rsidRPr="577A3C11" w:rsidR="2F125179">
        <w:rPr>
          <w:lang w:val="en-US"/>
        </w:rPr>
        <w:t>anonymization</w:t>
      </w:r>
      <w:r w:rsidRPr="577A3C11">
        <w:rPr>
          <w:lang w:val="en-US"/>
        </w:rPr>
        <w:t xml:space="preserve"> pipeline</w:t>
      </w:r>
    </w:p>
    <w:p w:rsidR="577A3C11" w:rsidP="577A3C11" w:rsidRDefault="577A3C11" w14:paraId="7DBFBBAE" w14:textId="1E4AD2EA">
      <w:pPr>
        <w:jc w:val="center"/>
        <w:rPr>
          <w:lang w:val="en-US"/>
        </w:rPr>
      </w:pPr>
    </w:p>
    <w:p w:rsidR="67E8780B" w:rsidP="577A3C11" w:rsidRDefault="67E8780B" w14:paraId="5DB2772C" w14:textId="6372D16B">
      <w:pPr>
        <w:pStyle w:val="Heading3"/>
        <w:rPr>
          <w:lang w:val="en-US"/>
        </w:rPr>
      </w:pPr>
      <w:r w:rsidRPr="577A3C11">
        <w:rPr>
          <w:lang w:val="en-US"/>
        </w:rPr>
        <w:t>References</w:t>
      </w:r>
    </w:p>
    <w:p w:rsidR="67E8780B" w:rsidP="577A3C11" w:rsidRDefault="67E8780B" w14:paraId="6C8CCB68" w14:textId="34E2D28E">
      <w:pPr>
        <w:pStyle w:val="ListParagraph"/>
        <w:numPr>
          <w:ilvl w:val="0"/>
          <w:numId w:val="1"/>
        </w:numPr>
        <w:rPr>
          <w:sz w:val="22"/>
          <w:szCs w:val="22"/>
          <w:lang w:val="en-US"/>
        </w:rPr>
      </w:pPr>
      <w:hyperlink r:id="rId9">
        <w:r w:rsidRPr="577A3C11">
          <w:rPr>
            <w:rStyle w:val="Hyperlink"/>
            <w:sz w:val="22"/>
            <w:szCs w:val="22"/>
            <w:lang w:val="en-US"/>
          </w:rPr>
          <w:t>A Review of Anonymization for Healthcare Data | Big Data</w:t>
        </w:r>
      </w:hyperlink>
    </w:p>
    <w:p w:rsidR="67E8780B" w:rsidP="577A3C11" w:rsidRDefault="67E8780B" w14:paraId="6B484133" w14:textId="16A82777">
      <w:pPr>
        <w:pStyle w:val="ListParagraph"/>
        <w:numPr>
          <w:ilvl w:val="0"/>
          <w:numId w:val="1"/>
        </w:numPr>
        <w:rPr>
          <w:sz w:val="22"/>
          <w:szCs w:val="22"/>
          <w:lang w:val="en-US"/>
        </w:rPr>
      </w:pPr>
      <w:hyperlink r:id="rId10">
        <w:r w:rsidRPr="577A3C11">
          <w:rPr>
            <w:rStyle w:val="Hyperlink"/>
            <w:sz w:val="22"/>
            <w:szCs w:val="22"/>
            <w:lang w:val="en-US"/>
          </w:rPr>
          <w:t>deduce/README.md at main · vmenger/deduce · GitHub</w:t>
        </w:r>
      </w:hyperlink>
    </w:p>
    <w:p w:rsidR="67E8780B" w:rsidP="577A3C11" w:rsidRDefault="67E8780B" w14:paraId="738C0688" w14:textId="54AEE78E">
      <w:pPr>
        <w:pStyle w:val="ListParagraph"/>
        <w:numPr>
          <w:ilvl w:val="0"/>
          <w:numId w:val="1"/>
        </w:numPr>
        <w:rPr>
          <w:rStyle w:val="Hyperlink"/>
          <w:sz w:val="22"/>
          <w:szCs w:val="22"/>
          <w:lang w:val="en-US"/>
        </w:rPr>
      </w:pPr>
      <w:hyperlink r:id="rId11">
        <w:r w:rsidRPr="577A3C11">
          <w:rPr>
            <w:rStyle w:val="Hyperlink"/>
            <w:sz w:val="22"/>
            <w:szCs w:val="22"/>
            <w:lang w:val="en-US"/>
          </w:rPr>
          <w:t>HIPAA De‑Identification Safe Harbor Method: A Practical Guide</w:t>
        </w:r>
      </w:hyperlink>
    </w:p>
    <w:p w:rsidR="67E8780B" w:rsidP="577A3C11" w:rsidRDefault="67E8780B" w14:paraId="26FFA046" w14:textId="5B07DDA8">
      <w:pPr>
        <w:pStyle w:val="ListParagraph"/>
        <w:numPr>
          <w:ilvl w:val="0"/>
          <w:numId w:val="1"/>
        </w:numPr>
        <w:rPr>
          <w:lang w:val="en-US"/>
        </w:rPr>
      </w:pPr>
      <w:hyperlink r:id="rId12">
        <w:r w:rsidRPr="577A3C11">
          <w:rPr>
            <w:rStyle w:val="Hyperlink"/>
            <w:sz w:val="22"/>
            <w:szCs w:val="22"/>
            <w:lang w:val="en-US"/>
          </w:rPr>
          <w:t>Evaluation of Anonymization Tools for Health Data | Springer Nature Link (formerly SpringerLink)</w:t>
        </w:r>
      </w:hyperlink>
    </w:p>
    <w:p w:rsidRPr="00AE24F7" w:rsidR="330B14A2" w:rsidP="577A3C11" w:rsidRDefault="330B14A2" w14:paraId="167C50F7" w14:textId="5BA4B34F">
      <w:pPr>
        <w:pStyle w:val="ListParagraph"/>
        <w:numPr>
          <w:ilvl w:val="0"/>
          <w:numId w:val="1"/>
        </w:numPr>
      </w:pPr>
      <w:hyperlink r:id="rId13">
        <w:r w:rsidRPr="00AE24F7">
          <w:rPr>
            <w:rStyle w:val="Hyperlink"/>
          </w:rPr>
          <w:t>EUR-Lex - 62023CJ0413 - EN - EUR-Lex</w:t>
        </w:r>
      </w:hyperlink>
    </w:p>
    <w:sectPr w:rsidRPr="00AE24F7" w:rsidR="330B14A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23A3"/>
    <w:multiLevelType w:val="hybridMultilevel"/>
    <w:tmpl w:val="FFFFFFFF"/>
    <w:lvl w:ilvl="0" w:tplc="7876BDEE">
      <w:start w:val="1"/>
      <w:numFmt w:val="decimal"/>
      <w:lvlText w:val="%1."/>
      <w:lvlJc w:val="left"/>
      <w:pPr>
        <w:ind w:left="720" w:hanging="360"/>
      </w:pPr>
    </w:lvl>
    <w:lvl w:ilvl="1" w:tplc="E3EA222A">
      <w:start w:val="1"/>
      <w:numFmt w:val="lowerLetter"/>
      <w:lvlText w:val="%2."/>
      <w:lvlJc w:val="left"/>
      <w:pPr>
        <w:ind w:left="1440" w:hanging="360"/>
      </w:pPr>
    </w:lvl>
    <w:lvl w:ilvl="2" w:tplc="13120284">
      <w:start w:val="1"/>
      <w:numFmt w:val="lowerRoman"/>
      <w:lvlText w:val="%3."/>
      <w:lvlJc w:val="right"/>
      <w:pPr>
        <w:ind w:left="2160" w:hanging="180"/>
      </w:pPr>
    </w:lvl>
    <w:lvl w:ilvl="3" w:tplc="D66A199C">
      <w:start w:val="1"/>
      <w:numFmt w:val="decimal"/>
      <w:lvlText w:val="%4."/>
      <w:lvlJc w:val="left"/>
      <w:pPr>
        <w:ind w:left="2880" w:hanging="360"/>
      </w:pPr>
    </w:lvl>
    <w:lvl w:ilvl="4" w:tplc="DCB25896">
      <w:start w:val="1"/>
      <w:numFmt w:val="lowerLetter"/>
      <w:lvlText w:val="%5."/>
      <w:lvlJc w:val="left"/>
      <w:pPr>
        <w:ind w:left="3600" w:hanging="360"/>
      </w:pPr>
    </w:lvl>
    <w:lvl w:ilvl="5" w:tplc="D512A5FE">
      <w:start w:val="1"/>
      <w:numFmt w:val="lowerRoman"/>
      <w:lvlText w:val="%6."/>
      <w:lvlJc w:val="right"/>
      <w:pPr>
        <w:ind w:left="4320" w:hanging="180"/>
      </w:pPr>
    </w:lvl>
    <w:lvl w:ilvl="6" w:tplc="A6266FD8">
      <w:start w:val="1"/>
      <w:numFmt w:val="decimal"/>
      <w:lvlText w:val="%7."/>
      <w:lvlJc w:val="left"/>
      <w:pPr>
        <w:ind w:left="5040" w:hanging="360"/>
      </w:pPr>
    </w:lvl>
    <w:lvl w:ilvl="7" w:tplc="41781A34">
      <w:start w:val="1"/>
      <w:numFmt w:val="lowerLetter"/>
      <w:lvlText w:val="%8."/>
      <w:lvlJc w:val="left"/>
      <w:pPr>
        <w:ind w:left="5760" w:hanging="360"/>
      </w:pPr>
    </w:lvl>
    <w:lvl w:ilvl="8" w:tplc="909C4C90">
      <w:start w:val="1"/>
      <w:numFmt w:val="lowerRoman"/>
      <w:lvlText w:val="%9."/>
      <w:lvlJc w:val="right"/>
      <w:pPr>
        <w:ind w:left="6480" w:hanging="180"/>
      </w:pPr>
    </w:lvl>
  </w:abstractNum>
  <w:num w:numId="1" w16cid:durableId="176313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3E9F91"/>
    <w:rsid w:val="000D2C29"/>
    <w:rsid w:val="001F4744"/>
    <w:rsid w:val="004E76E5"/>
    <w:rsid w:val="00660FEA"/>
    <w:rsid w:val="0090D1B1"/>
    <w:rsid w:val="00AE24F7"/>
    <w:rsid w:val="00E15586"/>
    <w:rsid w:val="00E76FF3"/>
    <w:rsid w:val="010FB15E"/>
    <w:rsid w:val="013BFCC4"/>
    <w:rsid w:val="015F3392"/>
    <w:rsid w:val="01A5C77B"/>
    <w:rsid w:val="02A9BA50"/>
    <w:rsid w:val="02C9500E"/>
    <w:rsid w:val="03B64078"/>
    <w:rsid w:val="05EBC933"/>
    <w:rsid w:val="0629DD0A"/>
    <w:rsid w:val="068B445A"/>
    <w:rsid w:val="069DF9E8"/>
    <w:rsid w:val="08829E5E"/>
    <w:rsid w:val="09405ECB"/>
    <w:rsid w:val="09EEB6BC"/>
    <w:rsid w:val="09F1DAA0"/>
    <w:rsid w:val="0AFEC75D"/>
    <w:rsid w:val="0C11C6F0"/>
    <w:rsid w:val="0C807851"/>
    <w:rsid w:val="0D1CB1B7"/>
    <w:rsid w:val="0D4698C4"/>
    <w:rsid w:val="0E600733"/>
    <w:rsid w:val="0F6DB6A0"/>
    <w:rsid w:val="10D4FA18"/>
    <w:rsid w:val="11E262B7"/>
    <w:rsid w:val="127FE797"/>
    <w:rsid w:val="12A8E58A"/>
    <w:rsid w:val="134484E5"/>
    <w:rsid w:val="134F151E"/>
    <w:rsid w:val="146FBFC2"/>
    <w:rsid w:val="1477ADD7"/>
    <w:rsid w:val="14C153C2"/>
    <w:rsid w:val="15695515"/>
    <w:rsid w:val="1575A773"/>
    <w:rsid w:val="15B723DB"/>
    <w:rsid w:val="178F8BD4"/>
    <w:rsid w:val="17CC0501"/>
    <w:rsid w:val="17EBAB87"/>
    <w:rsid w:val="182A5145"/>
    <w:rsid w:val="1848EA4D"/>
    <w:rsid w:val="18FBF71D"/>
    <w:rsid w:val="1BD9B9A1"/>
    <w:rsid w:val="1C91B167"/>
    <w:rsid w:val="1CB68B26"/>
    <w:rsid w:val="1CE14269"/>
    <w:rsid w:val="1E541CC4"/>
    <w:rsid w:val="1F7DD0EF"/>
    <w:rsid w:val="21201B45"/>
    <w:rsid w:val="21873A8E"/>
    <w:rsid w:val="221EF49F"/>
    <w:rsid w:val="22364476"/>
    <w:rsid w:val="226D54D3"/>
    <w:rsid w:val="228C8B82"/>
    <w:rsid w:val="22A2A707"/>
    <w:rsid w:val="23B79E97"/>
    <w:rsid w:val="2473C663"/>
    <w:rsid w:val="2724A693"/>
    <w:rsid w:val="27380B68"/>
    <w:rsid w:val="2905761C"/>
    <w:rsid w:val="29D9B245"/>
    <w:rsid w:val="2A993216"/>
    <w:rsid w:val="2B20602F"/>
    <w:rsid w:val="2C57B4A0"/>
    <w:rsid w:val="2D7A1827"/>
    <w:rsid w:val="2D8944E3"/>
    <w:rsid w:val="2D9563BF"/>
    <w:rsid w:val="2E09CDD3"/>
    <w:rsid w:val="2E165AD1"/>
    <w:rsid w:val="2F125179"/>
    <w:rsid w:val="2F613CF8"/>
    <w:rsid w:val="2F9593F1"/>
    <w:rsid w:val="2FD8249C"/>
    <w:rsid w:val="31158562"/>
    <w:rsid w:val="3177CF28"/>
    <w:rsid w:val="31EA021A"/>
    <w:rsid w:val="3283EE23"/>
    <w:rsid w:val="329A700E"/>
    <w:rsid w:val="32C8C1ED"/>
    <w:rsid w:val="330B14A2"/>
    <w:rsid w:val="34C1C66E"/>
    <w:rsid w:val="34FCA3EA"/>
    <w:rsid w:val="35874554"/>
    <w:rsid w:val="363E9F91"/>
    <w:rsid w:val="36E2E980"/>
    <w:rsid w:val="379E8D19"/>
    <w:rsid w:val="38486260"/>
    <w:rsid w:val="38A0C444"/>
    <w:rsid w:val="39116276"/>
    <w:rsid w:val="3AD21E80"/>
    <w:rsid w:val="3B5B4786"/>
    <w:rsid w:val="3B7018B9"/>
    <w:rsid w:val="3B87ABC9"/>
    <w:rsid w:val="3D23C0AC"/>
    <w:rsid w:val="3E29C8BC"/>
    <w:rsid w:val="3E7C373E"/>
    <w:rsid w:val="3F596904"/>
    <w:rsid w:val="3F700A82"/>
    <w:rsid w:val="3F864E1D"/>
    <w:rsid w:val="3F8B379D"/>
    <w:rsid w:val="410CD73D"/>
    <w:rsid w:val="41934E96"/>
    <w:rsid w:val="41B50144"/>
    <w:rsid w:val="41CB7563"/>
    <w:rsid w:val="434F7350"/>
    <w:rsid w:val="4382112E"/>
    <w:rsid w:val="43FFE368"/>
    <w:rsid w:val="451EC3DD"/>
    <w:rsid w:val="45B37E8C"/>
    <w:rsid w:val="45FCEA06"/>
    <w:rsid w:val="46105AF3"/>
    <w:rsid w:val="46788D67"/>
    <w:rsid w:val="46D9606F"/>
    <w:rsid w:val="485C45EC"/>
    <w:rsid w:val="49023676"/>
    <w:rsid w:val="4C488945"/>
    <w:rsid w:val="4C4D7820"/>
    <w:rsid w:val="4C5A4CF1"/>
    <w:rsid w:val="4D818F29"/>
    <w:rsid w:val="4E02C526"/>
    <w:rsid w:val="4E9FE1C1"/>
    <w:rsid w:val="4FE0631E"/>
    <w:rsid w:val="4FEAC83D"/>
    <w:rsid w:val="545F1796"/>
    <w:rsid w:val="55EA0FD6"/>
    <w:rsid w:val="566D8364"/>
    <w:rsid w:val="56AC4774"/>
    <w:rsid w:val="577A3C11"/>
    <w:rsid w:val="5849C045"/>
    <w:rsid w:val="59F3F669"/>
    <w:rsid w:val="5A107331"/>
    <w:rsid w:val="5B1A60CE"/>
    <w:rsid w:val="5B7C1FF0"/>
    <w:rsid w:val="5BAF608E"/>
    <w:rsid w:val="5C26A48D"/>
    <w:rsid w:val="5D46B7DE"/>
    <w:rsid w:val="5E5F1BF6"/>
    <w:rsid w:val="5EA761C2"/>
    <w:rsid w:val="5FFE0070"/>
    <w:rsid w:val="6070AA36"/>
    <w:rsid w:val="609F316A"/>
    <w:rsid w:val="60CB8B95"/>
    <w:rsid w:val="616585EC"/>
    <w:rsid w:val="6210D9CF"/>
    <w:rsid w:val="62808FD9"/>
    <w:rsid w:val="62A71E21"/>
    <w:rsid w:val="65846A47"/>
    <w:rsid w:val="66AB9CE3"/>
    <w:rsid w:val="67E8780B"/>
    <w:rsid w:val="68A0DC28"/>
    <w:rsid w:val="6A77F117"/>
    <w:rsid w:val="6AB6DBF2"/>
    <w:rsid w:val="6B5B77E7"/>
    <w:rsid w:val="6BCA25CA"/>
    <w:rsid w:val="6BCF2D13"/>
    <w:rsid w:val="6D6BEE10"/>
    <w:rsid w:val="6DDCD6D3"/>
    <w:rsid w:val="71F25998"/>
    <w:rsid w:val="721FB990"/>
    <w:rsid w:val="7241D2BF"/>
    <w:rsid w:val="7260B524"/>
    <w:rsid w:val="737CF364"/>
    <w:rsid w:val="73833857"/>
    <w:rsid w:val="743AB130"/>
    <w:rsid w:val="76353901"/>
    <w:rsid w:val="77596CF4"/>
    <w:rsid w:val="7817C5E6"/>
    <w:rsid w:val="7849F7B0"/>
    <w:rsid w:val="78C15A31"/>
    <w:rsid w:val="79A7572B"/>
    <w:rsid w:val="79C2D9C2"/>
    <w:rsid w:val="79E3B99E"/>
    <w:rsid w:val="7AD5FA55"/>
    <w:rsid w:val="7B189442"/>
    <w:rsid w:val="7B98FAB8"/>
    <w:rsid w:val="7D6167B9"/>
    <w:rsid w:val="7DFAD3CA"/>
    <w:rsid w:val="7EED8175"/>
    <w:rsid w:val="7F06B207"/>
    <w:rsid w:val="7F0EC5EE"/>
    <w:rsid w:val="7F3054B0"/>
    <w:rsid w:val="7F46ED70"/>
    <w:rsid w:val="7FAD0B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3E9F91"/>
  <w15:chartTrackingRefBased/>
  <w15:docId w15:val="{735585C9-4DC8-4313-B979-14975DB5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4FCA3EA"/>
    <w:rPr>
      <w:lang w:val="nl-NL"/>
    </w:rPr>
  </w:style>
  <w:style w:type="paragraph" w:styleId="Heading1">
    <w:name w:val="heading 1"/>
    <w:basedOn w:val="Normal"/>
    <w:next w:val="Normal"/>
    <w:uiPriority w:val="9"/>
    <w:qFormat/>
    <w:rsid w:val="34FCA3E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4FCA3E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4FCA3E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4FCA3EA"/>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34FCA3EA"/>
    <w:rPr>
      <w:rFonts w:eastAsiaTheme="majorEastAsia" w:cstheme="majorBidi"/>
      <w:color w:val="595959" w:themeColor="text1" w:themeTint="A6"/>
      <w:sz w:val="28"/>
      <w:szCs w:val="28"/>
    </w:rPr>
  </w:style>
  <w:style w:type="paragraph" w:styleId="ListParagraph">
    <w:name w:val="List Paragraph"/>
    <w:basedOn w:val="Normal"/>
    <w:uiPriority w:val="34"/>
    <w:qFormat/>
    <w:rsid w:val="34FCA3EA"/>
    <w:pPr>
      <w:ind w:left="720"/>
      <w:contextualSpacing/>
    </w:pPr>
  </w:style>
  <w:style w:type="character" w:styleId="Hyperlink">
    <w:name w:val="Hyperlink"/>
    <w:basedOn w:val="DefaultParagraphFont"/>
    <w:uiPriority w:val="99"/>
    <w:unhideWhenUsed/>
    <w:rsid w:val="34FCA3E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eur-lex.europa.eu/legal-content/EN/TXT/?uri=celex:62023CJ0413"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link.springer.com/chapter/10.1007/978-3-030-87657-9_23"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accountablehq.com/post/hipaa-de-identification-safe-harbor-method-a-practical-guide"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s://github.com/vmenger/deduce/blob/main/README.md" TargetMode="External" Id="rId10" /><Relationship Type="http://schemas.openxmlformats.org/officeDocument/2006/relationships/numbering" Target="numbering.xml" Id="rId4" /><Relationship Type="http://schemas.openxmlformats.org/officeDocument/2006/relationships/hyperlink" Target="https://www.liebertpub.com/doi/abs/10.1089/big.2021.0169"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5671E06BC5CB41A8A29701D29208BB" ma:contentTypeVersion="3" ma:contentTypeDescription="Een nieuw document maken." ma:contentTypeScope="" ma:versionID="4eaf239fd1b0306abe8cd20b9d5eb8d7">
  <xsd:schema xmlns:xsd="http://www.w3.org/2001/XMLSchema" xmlns:xs="http://www.w3.org/2001/XMLSchema" xmlns:p="http://schemas.microsoft.com/office/2006/metadata/properties" xmlns:ns2="ce7178ee-be07-446d-b162-49343d95a3ee" targetNamespace="http://schemas.microsoft.com/office/2006/metadata/properties" ma:root="true" ma:fieldsID="3fe6d071a698ffb12830629760ed2567" ns2:_="">
    <xsd:import namespace="ce7178ee-be07-446d-b162-49343d95a3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178ee-be07-446d-b162-49343d95a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F1811-6261-4FB0-A634-B8C6293673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864817-F3E2-415E-A1B8-58A8B80B5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178ee-be07-446d-b162-49343d95a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3F316-C5F8-4D2A-9092-CC404F9C75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Kortman</dc:creator>
  <cp:keywords/>
  <dc:description/>
  <cp:lastModifiedBy>Tim Kortman</cp:lastModifiedBy>
  <cp:revision>4</cp:revision>
  <dcterms:created xsi:type="dcterms:W3CDTF">2026-01-09T12:57:00Z</dcterms:created>
  <dcterms:modified xsi:type="dcterms:W3CDTF">2026-02-19T14:52:35Z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0x010100D75671E06BC5CB41A8A29701D29208BB</vt:lpwstr>
  </property>
</Properties>
</file>