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8B131C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</w:pPr>
      <w:r>
        <w:t xml:space="preserve">Отчёт по производственной практике </w:t>
      </w:r>
    </w:p>
    <w:p>
      <w:pPr>
        <w:jc w:val="center"/>
      </w:pPr>
      <w:r>
        <w:t>1 Введение</w:t>
      </w:r>
    </w:p>
    <w:p>
      <w:r>
        <w:t>Компьютерные системы являются неотъемлемой частью повседневной жизни. Для их бесперебойной работы необходимо не только правильно выбирать и устанавливать программное обеспечение, но и обеспечивать его надлежащее сопровождение и обслуживание. Производственная практика "Сопровождение и обслуживание программного обеспечения компьютерных систем" является важным этапом обучения в области информационных технологий, давая возможность приобрести необходимые навыки и знания в данной сфере.</w:t>
        <w:br w:type="textWrapping"/>
        <w:t xml:space="preserve">В ходе данной практики будет получен опыт в установке, настройке и обновлении программного обеспечения, а также в решении проблем, возникающих в процессе эксплуатации компьютерных систем, и в итоге, применить полученные знания на практике. </w:t>
      </w:r>
      <w:bookmarkStart w:id="0" w:name="_GoBack"/>
      <w:bookmarkEnd w:id="0"/>
      <w:r>
        <w:t>Производственная практика проходится на базе предприятия «Кодерлайн Проекты». В ходе производственной практики выполняются задания, связанные с деятельностью предприятия, а также задания, выданные руководителем производственной практики.</w:t>
      </w:r>
    </w:p>
    <w:p>
      <w:pPr>
        <w:jc w:val="center"/>
      </w:pPr>
      <w:r>
        <w:t>2 Изучение предприятия, основной деятельности, состава и структуры предприятия</w:t>
      </w:r>
    </w:p>
    <w:p>
      <w:r>
        <w:t xml:space="preserve"> «Кодерлайн Проекты» - официальный партнер фирмы 1С, занимающийся продажей и разработкой программных продуктов на основе 1С Предприятие. Основными направлениями разработки программных продуктов являются автоматизация бизнес-процессов, таких как управление продажами, управление запасами, управление проектами, разработка и внедрение специализированных решений для различных отраслей, таких как производство, торговля, услуги, интеграция с другими системами, такими как CRM, ERP, бухгалтерские системы, оптимизация существующих бизнес-процессов и повышение их эффективности. Предприятие имеет следующие статусы, подтверждающих компетенции и качество предоставляемых услуг: «1С:Центр ERP», «1С:Центр ERP - Строительство», «1С:Центр ERP - Производство», «1С:Центр компетенции по документообороту», «1С:Центр реальной автоматизации», «Центр компетенции 1С:КОРП», «1С:Центр компетенции по медицине», «1С:Центр компетенции по управлению персоналом», «1С:Франчайзинг», «1С:Центр Сертифицированного Обучения», ISU 9001-2015. </w:t>
      </w:r>
    </w:p>
    <w:p>
      <w:r>
        <w:t>Структура предприятия представлена на таблице 1.</w:t>
      </w:r>
    </w:p>
    <w:tbl>
      <w:tblPr>
        <w:tblpPr w:leftFromText="180" w:rightFromText="180" w:tblpX="1" w:tblpY="441" w:horzAnchor="margin" w:vertAnchor="text" w:tblpXSpec="center"/>
        <w:tblW w:w="10112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ook w:val="04A0"/>
      </w:tblPr>
      <w:tblGrid/>
      <w:tr>
        <w:trPr>
          <w:trHeight w:hRule="atLeast" w:val="235"/>
        </w:trPr>
        <w:tc>
          <w:tcPr>
            <w:tcW w:w="10112" w:type="dxa"/>
            <w:gridSpan w:val="11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ED7D31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b w:val="1"/>
                <w:color w:val="000000"/>
                <w:sz w:val="22"/>
              </w:rPr>
            </w:pPr>
            <w:r>
              <w:rPr>
                <w:b w:val="1"/>
                <w:color w:val="000000"/>
                <w:sz w:val="22"/>
              </w:rPr>
              <w:t>Прибылеприносящие подразделения</w:t>
            </w:r>
          </w:p>
        </w:tc>
      </w:tr>
      <w:tr>
        <w:trPr>
          <w:gridAfter w:val="1"/>
          <w:wAfter w:w="9" w:type="dxa"/>
          <w:trHeight w:hRule="atLeast" w:val="370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Проектный департамент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Департамент Внедрения МСК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Департамент Внедрения Регионы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Департамент Внедрения</w:t>
            </w:r>
          </w:p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Нижний Новгород</w:t>
            </w: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Департамент Внедрения</w:t>
            </w:r>
          </w:p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Иваново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Департамент Внедрения СПБ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 Департамент ИТС </w:t>
            </w:r>
          </w:p>
        </w:tc>
      </w:tr>
      <w:tr>
        <w:trPr>
          <w:gridAfter w:val="1"/>
          <w:wAfter w:w="9" w:type="dxa"/>
          <w:trHeight w:hRule="atLeast" w:val="235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Андрей Нестеренко -38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Иван Калмыков - 136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Виктория Зорева - 90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Виктория Зорева - 27</w:t>
            </w: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Виктория Зорева - 37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Инна Великсар (Лысова) - 78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FF2CC"/>
            <w:vAlign w:val="center"/>
            <w:hideMark/>
          </w:tcPr>
          <w:p>
            <w:pPr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Макушева Светлана  - 26</w:t>
            </w:r>
          </w:p>
        </w:tc>
      </w:tr>
      <w:tr>
        <w:trPr>
          <w:gridAfter w:val="1"/>
          <w:wAfter w:w="9" w:type="dxa"/>
          <w:trHeight w:hRule="atLeast" w:val="235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b w:val="1"/>
                <w:color w:val="000000"/>
                <w:sz w:val="18"/>
              </w:rPr>
            </w:pPr>
          </w:p>
        </w:tc>
        <w:tc>
          <w:tcPr>
            <w:tcW w:w="1414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b w:val="1"/>
                <w:color w:val="000000"/>
                <w:sz w:val="18"/>
              </w:rPr>
            </w:pPr>
          </w:p>
        </w:tc>
        <w:tc>
          <w:tcPr>
            <w:tcW w:w="6608" w:type="dxa"/>
            <w:gridSpan w:val="6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rPr>
                <w:b w:val="1"/>
                <w:color w:val="000000"/>
                <w:sz w:val="18"/>
              </w:rPr>
            </w:pPr>
            <w:r>
              <w:rPr>
                <w:b w:val="1"/>
                <w:color w:val="000000"/>
                <w:sz w:val="18"/>
              </w:rPr>
              <w:t xml:space="preserve">           Производство и компетенции</w:t>
            </w:r>
          </w:p>
        </w:tc>
      </w:tr>
      <w:tr>
        <w:trPr>
          <w:gridAfter w:val="1"/>
          <w:wAfter w:w="9" w:type="dxa"/>
          <w:trHeight w:hRule="atLeast" w:val="59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РП-Андрей Нестеренко 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Руденко Виктория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Виктория Зорева (РП)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Логинова Елена</w:t>
            </w: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Попадюк Лев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Инна Великсар (Лысова)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Макушева Светлана</w:t>
            </w: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Ильина Ольга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Калмыков Иван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Кучма  Анастасия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Шерстнев Артем</w:t>
            </w: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Кенгурова Наталья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Красник Александр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Филимонов Вячеслав</w:t>
            </w:r>
          </w:p>
        </w:tc>
      </w:tr>
      <w:tr>
        <w:trPr>
          <w:gridAfter w:val="1"/>
          <w:wAfter w:w="9" w:type="dxa"/>
          <w:trHeight w:hRule="atLeast" w:val="461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Дерр Ольга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Изотова Инна 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Типцова  Екатерина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Шадрин  Юрий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Зуева Татьяна</w:t>
            </w: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Панкул Дмитрий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Пелевина Татьяна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Логачев Александр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Атаманюк  Константин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Аюпов Иван</w:t>
            </w: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Куколкина Елена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Пронин Артем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Моисеев Денис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Долотова Маргарита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Дубенко Максим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Лебедев Дмитрий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422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Митницкая Наталья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  <w:shd w:val="clear" w:fill="FFFF00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Погорелова Елена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2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Туренко Лев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Арутюнов Герман</w:t>
            </w: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6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Поляков Андрей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67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398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Салий Юлия</w:t>
            </w:r>
          </w:p>
        </w:tc>
        <w:tc>
          <w:tcPr>
            <w:tcW w:w="1501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84"/>
        </w:trPr>
        <w:tc>
          <w:tcPr>
            <w:tcW w:w="10103" w:type="dxa"/>
            <w:gridSpan w:val="10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ED7D31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Продажи </w:t>
            </w:r>
          </w:p>
        </w:tc>
      </w:tr>
      <w:tr>
        <w:trPr>
          <w:gridAfter w:val="1"/>
          <w:wAfter w:w="9" w:type="dxa"/>
          <w:trHeight w:hRule="atLeast" w:val="261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Коммерческий департамент 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Телемаркетинг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Маркетинг и PR</w:t>
            </w: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 Зорева Юлия - 69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Зорева Юлия -48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F7CAAC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Ахарашева Даяна - 7</w:t>
            </w: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10103" w:type="dxa"/>
            <w:gridSpan w:val="10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B4C6E7"/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b w:val="1"/>
                <w:color w:val="000000"/>
                <w:sz w:val="18"/>
              </w:rPr>
              <w:t xml:space="preserve">           Производство и компетенции</w:t>
            </w: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Юлия Зорева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Юркив (Козин) Кристина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Москвин Александр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Костенюк Ирина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Смирнов Николай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Тищенко Юлия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Назарова Татьяна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Смольянинов Роман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Гаврилова Екатерина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Базоева Джемма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Басаева Екатерина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78"/>
        </w:trPr>
        <w:tc>
          <w:tcPr>
            <w:tcW w:w="4980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Волчек Галина</w:t>
            </w:r>
          </w:p>
        </w:tc>
        <w:tc>
          <w:tcPr>
            <w:tcW w:w="2576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</w:p>
        </w:tc>
      </w:tr>
      <w:tr>
        <w:trPr>
          <w:gridAfter w:val="1"/>
          <w:wAfter w:w="9" w:type="dxa"/>
          <w:trHeight w:hRule="atLeast" w:val="282"/>
        </w:trPr>
        <w:tc>
          <w:tcPr>
            <w:tcW w:w="10103" w:type="dxa"/>
            <w:gridSpan w:val="10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b w:val="1"/>
                <w:color w:val="000000"/>
                <w:sz w:val="18"/>
              </w:rPr>
              <w:t xml:space="preserve">Сервисный департамент </w:t>
            </w:r>
          </w:p>
        </w:tc>
      </w:tr>
      <w:tr>
        <w:trPr>
          <w:gridAfter w:val="1"/>
          <w:wAfter w:w="9" w:type="dxa"/>
          <w:trHeight w:hRule="atLeast" w:val="282"/>
        </w:trPr>
        <w:tc>
          <w:tcPr>
            <w:tcW w:w="10103" w:type="dxa"/>
            <w:gridSpan w:val="10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b w:val="1"/>
                <w:color w:val="000000"/>
                <w:sz w:val="18"/>
              </w:rPr>
            </w:pPr>
            <w:r>
              <w:rPr>
                <w:b w:val="1"/>
                <w:color w:val="000000"/>
                <w:sz w:val="18"/>
              </w:rPr>
              <w:t>Марьяна Федорчак - 21</w:t>
            </w: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336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Клиентская служба - 2 </w:t>
            </w:r>
          </w:p>
        </w:tc>
        <w:tc>
          <w:tcPr>
            <w:tcW w:w="3368" w:type="dxa"/>
            <w:gridSpan w:val="5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Финансовый отдел – 12</w:t>
            </w:r>
          </w:p>
        </w:tc>
        <w:tc>
          <w:tcPr>
            <w:tcW w:w="3368" w:type="dxa"/>
            <w:gridSpan w:val="3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 xml:space="preserve">Хоз. Обеспечение - 6 </w:t>
            </w:r>
          </w:p>
        </w:tc>
      </w:tr>
      <w:tr>
        <w:trPr>
          <w:gridAfter w:val="1"/>
          <w:wAfter w:w="9" w:type="dxa"/>
          <w:trHeight w:hRule="atLeast" w:val="352"/>
        </w:trPr>
        <w:tc>
          <w:tcPr>
            <w:tcW w:w="10103" w:type="dxa"/>
            <w:gridSpan w:val="10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shd w:val="clear" w:color="auto" w:fill="DEEAF6"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b w:val="1"/>
                <w:color w:val="000000"/>
                <w:sz w:val="18"/>
              </w:rPr>
            </w:pPr>
            <w:r>
              <w:rPr>
                <w:b w:val="1"/>
                <w:color w:val="000000"/>
                <w:sz w:val="18"/>
              </w:rPr>
              <w:t>Прочие подразделения - 51</w:t>
            </w:r>
          </w:p>
        </w:tc>
      </w:tr>
      <w:tr>
        <w:trPr>
          <w:gridAfter w:val="1"/>
          <w:wAfter w:w="9" w:type="dxa"/>
          <w:trHeight w:hRule="atLeast" w:val="549"/>
        </w:trPr>
        <w:tc>
          <w:tcPr>
            <w:tcW w:w="2081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Отдел внутренней автоматизации - Иван Кузнецов - 6</w:t>
            </w:r>
          </w:p>
        </w:tc>
        <w:tc>
          <w:tcPr>
            <w:tcW w:w="2899" w:type="dxa"/>
            <w:gridSpan w:val="4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Администрация - Генеральный директор Андрей Бербека - 21</w:t>
            </w:r>
          </w:p>
        </w:tc>
        <w:tc>
          <w:tcPr>
            <w:tcW w:w="1287" w:type="dxa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Группа обработки данных Александр Михалычев -14</w:t>
            </w:r>
          </w:p>
        </w:tc>
        <w:tc>
          <w:tcPr>
            <w:tcW w:w="1289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Группа ИТ поддержки – Артем Слатин - 5</w:t>
            </w:r>
          </w:p>
        </w:tc>
        <w:tc>
          <w:tcPr>
            <w:tcW w:w="2547" w:type="dxa"/>
            <w:gridSpan w:val="2"/>
            <w:tcBorders>
              <w:top w:val="single" w:sz="4" w:space="0" w:shadow="0" w:frame="0" w:color="auto"/>
              <w:left w:val="single" w:sz="4" w:space="0" w:shadow="0" w:frame="0" w:color="auto"/>
              <w:bottom w:val="single" w:sz="4" w:space="0" w:shadow="0" w:frame="0" w:color="auto"/>
              <w:right w:val="single" w:sz="4" w:space="0" w:shadow="0" w:frame="0" w:color="auto"/>
            </w:tcBorders>
            <w:vAlign w:val="center"/>
            <w:hideMark/>
          </w:tcPr>
          <w:p>
            <w:pPr>
              <w:spacing w:lineRule="auto" w:line="276" w:beforeAutospacing="0" w:afterAutospacing="0"/>
              <w:ind w:firstLine="0"/>
              <w:jc w:val="center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Отдел персонала-Наталья Тарчинец - 17</w:t>
            </w:r>
          </w:p>
        </w:tc>
      </w:tr>
    </w:tbl>
    <w:p>
      <w:pPr>
        <w:pStyle w:val="P3"/>
        <w:spacing w:lineRule="auto" w:line="360" w:beforeAutospacing="0" w:afterAutospacing="0"/>
        <w:ind w:firstLine="0"/>
        <w:jc w:val="center"/>
      </w:pPr>
      <w:r>
        <w:t>Таблица 1</w:t>
      </w:r>
    </w:p>
    <w:p>
      <w:pPr>
        <w:pStyle w:val="P3"/>
        <w:spacing w:lineRule="auto" w:line="276" w:beforeAutospacing="0" w:afterAutospacing="0"/>
        <w:ind w:firstLine="0"/>
      </w:pPr>
    </w:p>
    <w:p>
      <w:pPr>
        <w:jc w:val="center"/>
      </w:pPr>
      <w:r>
        <w:t>3 Ознакомление с инструкциями по охране труда, технике безопасности при работе с вычислительной техникой на предприятии.</w:t>
      </w:r>
    </w:p>
    <w:p>
      <w:pPr>
        <w:jc w:val="both"/>
      </w:pPr>
      <w:r>
        <w:t xml:space="preserve">Инструкции по охране труда, технике безопасности при работе с вычислительной техникой на предприятии и оказании первой помощи предоставлены в виде документов. Из инструкции по охране труда на персональном компьютере: 1.1 К работе на персональном компьютере (ПК) </w:t>
      </w:r>
      <w:r>
        <w:rPr>
          <w:color w:val="000000"/>
        </w:rPr>
        <w:t xml:space="preserve">допускаются </w:t>
      </w:r>
      <w:r>
        <w:t>лица, прошедшие медицинское освидетельствование, вводный инструктаж, первичный инструктаж, обучение и стажировку на рабочем месте, проверку знаний требований охраны труда, имеющие группу I по электробезопасности.</w:t>
        <w:br w:type="textWrapping"/>
        <w:t>1.2 При работе на персональном компьютере работник обязан:</w:t>
        <w:br w:type="textWrapping"/>
        <w:t>1.2.1 Выполнять только ту работу, которая определена его должностной (рабочей) инструкцией.</w:t>
        <w:br w:type="textWrapping"/>
        <w:t>1.2.2 Выполнять правила внутреннего трудового распорядка.</w:t>
        <w:br w:type="textWrapping"/>
        <w:t>1.2.3 Соблюдать режим труда и отдыха в зависимости от продолжительности, вида и категории трудовой деятельности (приложение № 1).</w:t>
        <w:br w:type="textWrapping"/>
        <w:t>1.2.4 Правильно применять средства индивидуальной и коллективной защиты.</w:t>
        <w:br w:type="textWrapping"/>
        <w:t>1.2.5 Соблюдать требования охраны труда.</w:t>
      </w:r>
    </w:p>
    <w:p>
      <w:pPr>
        <w:jc w:val="both"/>
      </w:pPr>
      <w:r>
        <w:t>1.2.6 Немедленно извещать своего непосредственного или вышестоящего руководителя о любой ситуации, угрожающей жизни и здоровью людей, о каждом несчастном случае, происшедшем на производстве, или об ухудшении состояния своего здоровья, в том числе о проявлении признаков острого профессионального заболевания (отравления).</w:t>
      </w:r>
    </w:p>
    <w:p>
      <w:r>
        <w:t>1.2.7 Проходить обучение безопасным методам и приемам выполнения работ и оказанию первой помощи пострадавшим на производстве, инструктаж по охране труда, проверку знаний требований охраны труда.</w:t>
      </w:r>
    </w:p>
    <w:p>
      <w:pPr>
        <w:jc w:val="center"/>
      </w:pPr>
      <w:r>
        <w:t>4 Изучение структуры ИС предприятия. Сколько ПК, их характеристики.</w:t>
      </w:r>
    </w:p>
    <w:p>
      <w:r>
        <w:t>Структура ИС предприятия основывается на базе конфигурации 1С Предприятия. Каждый сотрудник имеет доступ к приложению 1С Предприятия с информационной базой предприятия. У каждого сотрудника имеется свой логин и пароль для доступа к информационной базе. Сотрудники, не имеющие доступа ко внутренней структуре информационной базы, используют тонкий клиент 1С Предприятия.</w:t>
      </w:r>
    </w:p>
    <w:p>
      <w:r>
        <w:t>Сотрудники используют ноутбуки, предоставляемые предприятием. На ноутбуках установлены Skype, AnyDesk, MangoTalker. Ноутбуки работают на операционной системе Windows 10.</w:t>
      </w:r>
    </w:p>
    <w:p/>
    <w:p/>
    <w:p>
      <w:pPr>
        <w:spacing w:before="0" w:after="0"/>
        <w:ind w:firstLine="0" w:left="0" w:right="0"/>
        <w:outlineLvl w:val="3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1. Установка программы Stamina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Программа Stamina — это тренажер для обучения быстрому и точному набору текста на клавиатуре, используя все десять пальцев. Она доступна на сайте 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instrText>HYPERLINK "http://stamina.ru/"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t>http://stamina.ru/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Этапы процесса установки программы:</w:t>
      </w:r>
    </w:p>
    <w:p>
      <w:pPr>
        <w:numPr>
          <w:ilvl w:val="0"/>
          <w:numId w:val="1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Загрузка программы:</w:t>
      </w:r>
    </w:p>
    <w:p>
      <w:pPr>
        <w:numPr>
          <w:ilvl w:val="1"/>
          <w:numId w:val="1"/>
        </w:numPr>
        <w:spacing w:before="0" w:after="0"/>
        <w:ind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Перейдите на сайт 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begin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instrText>HYPERLINK "http://stamina.ru/" \t "_blank"</w:instrTex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t>http://stamina.ru/</w:t>
      </w:r>
      <w:r>
        <w:rPr>
          <w:rStyle w:val="C2"/>
          <w:rFonts w:ascii="Times New Roman" w:hAnsi="Times New Roman"/>
          <w:b w:val="0"/>
          <w:i w:val="0"/>
          <w:strike w:val="0"/>
          <w:color w:val="000000"/>
          <w:sz w:val="24"/>
          <w:u w:val="none"/>
          <w:shd w:val="clear" w:fill="FFFFFF"/>
        </w:rPr>
        <w:fldChar w:fldCharType="end"/>
      </w: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.</w:t>
      </w:r>
    </w:p>
    <w:p>
      <w:pPr>
        <w:numPr>
          <w:ilvl w:val="1"/>
          <w:numId w:val="1"/>
        </w:numPr>
        <w:spacing w:before="0" w:after="0"/>
        <w:ind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Найдите ссылку для загрузки программы.</w:t>
      </w:r>
    </w:p>
    <w:p>
      <w:pPr>
        <w:numPr>
          <w:ilvl w:val="1"/>
          <w:numId w:val="1"/>
        </w:numPr>
        <w:spacing w:before="0" w:after="0"/>
        <w:ind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Нажмите на ссылку и сохраните установочный файл на ваш ПК.</w:t>
      </w:r>
    </w:p>
    <w:p>
      <w:pPr>
        <w:numPr>
          <w:ilvl w:val="0"/>
          <w:numId w:val="1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Установка программы: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Откройте файл установки, который вы загрузили.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Следуйте инструкциям мастера установки.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Выберите папку для установки программы или используйте стандартную.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Нажмите "Установить" и дождитесь окончания процесса.</w:t>
      </w:r>
    </w:p>
    <w:p>
      <w:pPr>
        <w:numPr>
          <w:ilvl w:val="0"/>
          <w:numId w:val="1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Запуск программы: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После установки найдите ярлык программы на рабочем столе или в меню "Пуск".</w:t>
      </w:r>
    </w:p>
    <w:p>
      <w:pPr>
        <w:numPr>
          <w:ilvl w:val="1"/>
          <w:numId w:val="1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Дважды кликните по ярлыку, чтобы запустить программу.</w:t>
      </w:r>
    </w:p>
    <w:p>
      <w:pPr>
        <w:spacing w:before="0" w:after="0"/>
        <w:ind w:firstLine="0" w:left="0" w:right="0"/>
        <w:outlineLvl w:val="3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2. Удаление программы Stamina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Этапы процесса удаления программы:</w:t>
      </w:r>
    </w:p>
    <w:p>
      <w:pPr>
        <w:numPr>
          <w:ilvl w:val="0"/>
          <w:numId w:val="2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Открытие диспетчера программ: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Нажмите клавиши Win + X и выберите "Приложения и компоненты" или откройте "Панель управления" и выберите "Программы и компоненты".</w:t>
      </w:r>
    </w:p>
    <w:p>
      <w:pPr>
        <w:numPr>
          <w:ilvl w:val="0"/>
          <w:numId w:val="2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Поиск программы: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 списке установленных программ найдите "Stamina".</w:t>
      </w:r>
    </w:p>
    <w:p>
      <w:pPr>
        <w:numPr>
          <w:ilvl w:val="0"/>
          <w:numId w:val="2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Удаление программы: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Выберите программу и нажмите "Удалить" или "Изменить/Удалить".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Следуйте инструкциям мастера удаления.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Дождитесь окончания процесса удаления.</w:t>
      </w:r>
    </w:p>
    <w:p>
      <w:pPr>
        <w:numPr>
          <w:ilvl w:val="0"/>
          <w:numId w:val="2"/>
        </w:numPr>
        <w:spacing w:before="0" w:after="6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Проверка удаления:</w:t>
      </w:r>
    </w:p>
    <w:p>
      <w:pPr>
        <w:numPr>
          <w:ilvl w:val="1"/>
          <w:numId w:val="2"/>
        </w:numPr>
        <w:spacing w:before="0" w:after="0"/>
        <w:ind w:hanging="360" w:left="144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После удаления проверьте рабочий стол и меню "Пуск" — ярлык программы должен быть удален.</w:t>
      </w:r>
    </w:p>
    <w:p>
      <w:pPr>
        <w:spacing w:before="0" w:after="0"/>
        <w:ind w:firstLine="0" w:left="0" w:right="0"/>
        <w:outlineLvl w:val="3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3. Изучение основных терминов программного обеспечения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Основные термины: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Инсталляция (Installation): процесс установки программного обеспечения на компьютер.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Удаление (Uninstallation): процесс удаления программного обеспечения с компьютера.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Тренажер (Trainer): программа, предназначенная для обучения определенным навыкам, как набору текста на клавиатуре.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Совместимость (Compatibility): способность программного обеспечения работать на определенной операционной системе или с другим программным обеспечением.</w:t>
      </w:r>
    </w:p>
    <w:p>
      <w:pPr>
        <w:spacing w:before="0" w:after="0"/>
        <w:ind w:firstLine="0" w:left="0" w:right="0"/>
        <w:outlineLvl w:val="3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4. Устранение проблем совместимости программного обеспечения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Метод устранения проблемы:</w:t>
      </w:r>
    </w:p>
    <w:p>
      <w:pPr>
        <w:numPr>
          <w:ilvl w:val="0"/>
          <w:numId w:val="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Обновление программы: проверьте, доступны ли обновления для программы Stamina на ее официальном сайте.</w:t>
      </w:r>
    </w:p>
    <w:p>
      <w:pPr>
        <w:numPr>
          <w:ilvl w:val="0"/>
          <w:numId w:val="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Обновление операционной системы: убедитесь, что ваша операционная система обновлена до последней версии.</w:t>
      </w:r>
    </w:p>
    <w:p>
      <w:pPr>
        <w:numPr>
          <w:ilvl w:val="0"/>
          <w:numId w:val="4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Использование виртуальной машины: если проблема совместимости связана с операционной системой, можно установить программу в виртуальной машине с подходящей ОС.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Ход выполнения: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Проверка наличия обновлений для программы и операционной системы.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Установка обновлений, если они доступны.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Тестирование программы на совместимость после обновлений.</w:t>
      </w:r>
    </w:p>
    <w:p>
      <w:pPr>
        <w:spacing w:before="0" w:after="0"/>
        <w:ind w:firstLine="0" w:left="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Вывод:</w:t>
      </w:r>
    </w:p>
    <w:p>
      <w:pPr>
        <w:numPr>
          <w:ilvl w:val="0"/>
          <w:numId w:val="6"/>
        </w:numPr>
        <w:spacing w:before="0" w:after="0"/>
        <w:ind w:hanging="360" w:left="720" w:right="0"/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Если проблема совместимости была решена, программа Stamina должна работать корректно.</w:t>
      </w:r>
    </w:p>
    <w:p>
      <w:pPr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 w:val="0"/>
          <w:i w:val="0"/>
          <w:color w:val="000000"/>
          <w:sz w:val="24"/>
          <w:shd w:val="clear" w:fill="FFFFFF"/>
        </w:rPr>
        <w:t>Если проблема осталась, возможно, потребуется использовать альтернативные методы, такие как установка в виртуальной машине.</w:t>
      </w:r>
      <w:r>
        <w:rPr>
          <w:rFonts w:ascii="Times New Roman" w:hAnsi="Times New Roman"/>
          <w:color w:val="000000"/>
          <w:sz w:val="24"/>
        </w:rPr>
        <w:br w:type="textWrapping"/>
      </w: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DAB1A07"/>
    <w:multiLevelType w:val="hybridMultilevel"/>
    <w:lvl w:ilvl="0" w:tplc="16B58019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96418F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AA3C8B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7DBB02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FBA98A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2820FF4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22FF31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4C83AF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F27E7A4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0E03A228"/>
    <w:multiLevelType w:val="hybridMultilevel"/>
    <w:lvl w:ilvl="0" w:tplc="200D906F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7D64D3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08369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1348E99A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678103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2A624F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6F20286D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66CC3BB0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4A2A63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7AF30CCA"/>
    <w:multiLevelType w:val="hybridMultilevel"/>
    <w:lvl w:ilvl="0" w:tplc="1C5CEA31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17B3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C619E0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F407C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3D428A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9128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B77EC8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0E8A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B8F8F2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7AFEBF6"/>
    <w:multiLevelType w:val="hybridMultilevel"/>
    <w:lvl w:ilvl="0" w:tplc="76AC6290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C1B2700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826250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26AECC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C4FEBC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FF26A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3F66CEA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4682D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43D690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27D739D5"/>
    <w:multiLevelType w:val="hybridMultilevel"/>
    <w:lvl w:ilvl="0" w:tplc="465DF487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A589934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19D608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E1B207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9B5243F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B797E07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942B40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DB9F9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3A4770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3FB6792E"/>
    <w:multiLevelType w:val="hybridMultilevel"/>
    <w:lvl w:ilvl="0" w:tplc="68AF932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56E0751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4FB781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6AB8AC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BF0EE5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F9D129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E57C44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ABB1D7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EE944C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left"/>
    </w:pPr>
    <w:rPr>
      <w:rFonts w:ascii="Times New Roman" w:hAnsi="Times New Roman"/>
      <w:sz w:val="24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beforeAutospacing="0" w:afterAutospacing="0"/>
      <w:jc w:val="center"/>
      <w:outlineLvl w:val="0"/>
    </w:pPr>
    <w:rPr>
      <w:i w:val="1"/>
      <w:sz w:val="28"/>
    </w:rPr>
  </w:style>
  <w:style w:type="paragraph" w:styleId="P2">
    <w:name w:val="Subtitle"/>
    <w:basedOn w:val="P0"/>
    <w:next w:val="P0"/>
    <w:link w:val="C4"/>
    <w:qFormat/>
    <w:pPr>
      <w:ind w:firstLine="709"/>
    </w:pPr>
    <w:rPr>
      <w:color w:val="5A5A5A"/>
    </w:rPr>
  </w:style>
  <w:style w:type="paragraph" w:styleId="P3">
    <w:name w:val="Paragraph 0"/>
    <w:basedOn w:val="P0"/>
    <w:pPr>
      <w:spacing w:lineRule="auto" w:line="240" w:beforeAutospacing="0" w:afterAutospacing="0"/>
      <w:ind w:firstLine="284"/>
      <w:jc w:val="both"/>
    </w:pPr>
    <w:rPr>
      <w:sz w:val="22"/>
    </w:rPr>
  </w:style>
  <w:style w:type="paragraph" w:styleId="P4">
    <w:name w:val="annotation text"/>
    <w:basedOn w:val="P0"/>
    <w:link w:val="C6"/>
    <w:semiHidden/>
    <w:pPr>
      <w:spacing w:lineRule="auto" w:line="240" w:after="60" w:beforeAutospacing="0" w:afterAutospacing="0"/>
      <w:ind w:firstLine="567"/>
    </w:pPr>
    <w:rPr>
      <w:rFonts w:ascii="Tahoma" w:hAnsi="Tahoma"/>
      <w:sz w:val="20"/>
    </w:rPr>
  </w:style>
  <w:style w:type="paragraph" w:styleId="P5">
    <w:name w:val="Balloon Text"/>
    <w:basedOn w:val="P0"/>
    <w:link w:val="C7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i w:val="1"/>
      <w:sz w:val="28"/>
    </w:rPr>
  </w:style>
  <w:style w:type="character" w:styleId="C4">
    <w:name w:val="Подзаголовок Знак"/>
    <w:basedOn w:val="C0"/>
    <w:link w:val="P2"/>
    <w:rPr>
      <w:color w:val="5A5A5A"/>
    </w:rPr>
  </w:style>
  <w:style w:type="character" w:styleId="C5">
    <w:name w:val="annotation reference"/>
    <w:basedOn w:val="C0"/>
    <w:semiHidden/>
    <w:rPr>
      <w:sz w:val="16"/>
    </w:rPr>
  </w:style>
  <w:style w:type="character" w:styleId="C6">
    <w:name w:val="Текст примечания Знак"/>
    <w:basedOn w:val="C0"/>
    <w:link w:val="P4"/>
    <w:semiHidden/>
    <w:rPr>
      <w:rFonts w:ascii="Tahoma" w:hAnsi="Tahoma"/>
      <w:sz w:val="20"/>
    </w:rPr>
  </w:style>
  <w:style w:type="character" w:styleId="C7">
    <w:name w:val="Текст выноски Знак"/>
    <w:basedOn w:val="C0"/>
    <w:link w:val="P5"/>
    <w:semiHidden/>
    <w:rPr>
      <w:rFonts w:ascii="Segoe UI" w:hAnsi="Segoe UI"/>
      <w:sz w:val="1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