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ascii="Calibri" w:hAnsi="Calibri"/>
          <w:b/>
          <w:i w:val="0"/>
          <w:color w:val="1A1A1A"/>
          <w:sz w:val="19"/>
        </w:rPr>
        <w:t>Proyecto:</w:t>
      </w:r>
      <w:r>
        <w:rPr>
          <w:rFonts w:ascii="Calibri" w:hAnsi="Calibri"/>
          <w:b w:val="0"/>
          <w:i w:val="0"/>
          <w:color w:val="1A1A1A"/>
          <w:sz w:val="19"/>
        </w:rPr>
        <w:t xml:space="preserve"> SalaAbierta   ·   </w:t>
      </w:r>
      <w:r>
        <w:rPr>
          <w:rFonts w:ascii="Calibri" w:hAnsi="Calibri"/>
          <w:b/>
          <w:i w:val="0"/>
          <w:color w:val="1A1A1A"/>
          <w:sz w:val="19"/>
        </w:rPr>
        <w:t>Integrantes:</w:t>
      </w:r>
      <w:r>
        <w:rPr>
          <w:rFonts w:ascii="Calibri" w:hAnsi="Calibri"/>
          <w:b w:val="0"/>
          <w:i w:val="0"/>
          <w:color w:val="1A1A1A"/>
          <w:sz w:val="19"/>
        </w:rPr>
        <w:t xml:space="preserve"> Fernando Pavez, Catalina Aguilar   ·   </w:t>
      </w:r>
      <w:r>
        <w:rPr>
          <w:rFonts w:ascii="Calibri" w:hAnsi="Calibri"/>
          <w:b/>
          <w:i w:val="0"/>
          <w:color w:val="1A1A1A"/>
          <w:sz w:val="19"/>
        </w:rPr>
        <w:t>Asignatura:</w:t>
      </w:r>
      <w:r>
        <w:rPr>
          <w:rFonts w:ascii="Calibri" w:hAnsi="Calibri"/>
          <w:b w:val="0"/>
          <w:i w:val="0"/>
          <w:color w:val="1A1A1A"/>
          <w:sz w:val="19"/>
        </w:rPr>
        <w:t xml:space="preserve"> Capstone (PTY4614)   ·   </w:t>
      </w:r>
      <w:r>
        <w:rPr>
          <w:rFonts w:ascii="Calibri" w:hAnsi="Calibri"/>
          <w:b/>
          <w:i w:val="0"/>
          <w:color w:val="1A1A1A"/>
          <w:sz w:val="19"/>
        </w:rPr>
        <w:t>Docente:</w:t>
      </w:r>
      <w:r>
        <w:rPr>
          <w:rFonts w:ascii="Calibri" w:hAnsi="Calibri"/>
          <w:b w:val="0"/>
          <w:i w:val="0"/>
          <w:color w:val="1A1A1A"/>
          <w:sz w:val="19"/>
        </w:rPr>
        <w:t xml:space="preserve"> Felipe Krauss   ·   </w:t>
      </w:r>
      <w:r>
        <w:rPr>
          <w:rFonts w:ascii="Calibri" w:hAnsi="Calibri"/>
          <w:b/>
          <w:i w:val="0"/>
          <w:color w:val="1A1A1A"/>
          <w:sz w:val="19"/>
        </w:rPr>
        <w:t>Fecha:</w:t>
      </w:r>
      <w:r>
        <w:rPr>
          <w:rFonts w:ascii="Calibri" w:hAnsi="Calibri"/>
          <w:b w:val="0"/>
          <w:i w:val="0"/>
          <w:color w:val="1A1A1A"/>
          <w:sz w:val="19"/>
        </w:rPr>
        <w:t xml:space="preserve"> 19-10-2026</w:t>
      </w: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B29CFD" w14:textId="12228CA9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A la fecha de este informe, el equipo completó la funcionalidad de las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Épicas 001 (Gestión Académica, Evaluativa y Auditoría) y 002 (Muro de Comunicación)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: 8 de las 10 historias de usuario del Product Backlog están implementadas (6 completas y 2 con un criterio pendiente), lo que equivale a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24 de 37 puntos de esfuerzo (65 %)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. La Épica 003 (agente IA y alertas tempranas) comienza en la semana 11, según lo planificado, y ya cuenta con su diseño técnico.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Actividades realizadas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Backend (API REST en Node.js + Express):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autenticación con contraseñas cifradas (bcrypt) y sesiones JWT de 12 horas, control de acceso por rol y filtros que impiden que un profesor acceda a cursos ajenos o que un apoderado vea estudiantes que no son sus pupilos.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Base de datos PostgreSQL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con 13 tablas, restricciones de integridad (nota entre 1,0 y 7,0, una asistencia por alumno y día) y datos de prueba sintéticos (Mock Data). En desarrollo se usa PostgreSQL embebido (PGlite) para no depender de un servidor.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Registro de auditoría: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cada creación o edición de asistencia, notas, anotaciones y anuncios guarda quién, cuándo y los datos antes y después; el Administrador lo consulta en una pantalla con filtros.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Aplicación móvil y web (Expo + React Native):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10 pantallas segmentadas por rol. El profesor pasa asistencia de todo el curso en una operación, registra y edita notas, registra anotaciones y publica anuncios; el apoderado ve notas, promedio, asistencia, anotaciones y el muro, donde confirma la recepción y comenta.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Documentación ágil: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Product Vision, Product Backlog priorizado, Definition of Done y Documento de Diseño, alineados con el código del repositorio.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Reunión de control con el docente (07-10-2026):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se validó que las actividades comprometidas estaban completadas a esa semana.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Objetivos específicos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OE1 – Arquitectura backend segura con auditoría: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cumplido (JWT, roles, filtros de seguridad y auditoría operativos).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OE2 – Interfaces segmentadas para Profesor y Apoderado: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cumplido en lo esencial; queda mostrar al profesor quiénes confirmaron cada anuncio.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OE3 – Alertas tempranas (Inteligencia de Negocios):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no iniciado; planificado para la semana 13, con reglas ya diseñadas.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OE4 – Agente IA conversacional (RAG):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no iniciado; planificado para las semanas 11 y 12, con arquitectura ya diseñada.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spacing w:after="8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Sin ajustes.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Se mantienen el objetivo general y los cuatro objetivos específicos de la Propuesta Capstone (Revisión 02). Lo que se ajustó fue el alcance del producto (ver sección 3), no los objetivos.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Se mantiene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Scrum con sprints semanales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, con los siguientes ajustes: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•  Se incorporaron los artefactos ágiles exigidos por el docente: Product Vision, Product Backlog con historias estimadas en puntos (37 PF), Definition of Done con criterios generales y por historia, y Documento de Diseño.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•  Cada historia tiene ahora un estado verificable contra el código, y las brechas detectadas se convirtieron en tareas técnicas del backlog (T1 a T11).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•  El Sprint 10 (semana 14) queda reservado para pruebas integrales, corrección de defectos y preparación de la demo.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La evidencia de avance se presenta en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video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, según lo acordado con el docente en la reunión del 07-10-2026.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•  Desde el próximo sprint, el código se integrará con ramas por historia y Pull Requests revisados por el otro integrante, como exige el Definition of Done.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spacing w:after="8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Se presentan cuatro tipos de evidencia, que en conjunto muestran el producto funcionando, el código que lo respalda y la planificación técnica: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Videos de funcionamiento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(repositorio, carpeta Fase 2/Evidencias Proyecto (version Agil)): Evidencia_1 (1:20), apoderado en la versión web: inicio de sesión, anotaciones, muro con confirmación de recepción y comentarios. Evidencia_2 (1:04), puesta en marcha del backend y de la app. Evidencia_3 (2:17), profesor en un iPhone: error con credenciales incorrectas, asistencia masiva, registro y edición de notas con promedio, anotaciones y publicación en el muro.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Repositorio GitHub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(github.com/Koryyy1/SalaAbierta): código del frontend y del backend, esquema SQL, datos semilla e instrucciones de ejecución en el README.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Documentos de la versión ágil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(misma carpeta): 01 Product Vision, 02 Product Backlog, 04 Definition of Done y 05 Documento de Diseño basado en UML (casos de uso, modelo E-R, clases, secuencia, componentes y despliegue, además de arquitectura, seguridad, API y requisitos no funcionales).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Acta de control de avance del 07-10-2026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, validada por el docente.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Resguardo de la calidad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•  Historias de usuario con criterios de aceptación medibles y un Definition of Done que define cuándo una historia está terminada.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•  Seguridad aplicada desde el diseño: contraseñas cifradas, sesiones con expiración, control de acceso en el servidor (no solo en la interfaz), consultas SQL parametrizadas y validación de datos en el backend.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•  Trazabilidad mediante el registro de auditoría y uso exclusivo de datos sintéticos, en línea con la Ley 19.628 de protección de la vida privada.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•  Revisión cruzada de la documentación contra el código: se detectaron 11 brechas, cada una con una corrección propuesta, prioridad y plazo (Documento de Diseño, sección 14).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Capturas de la aplicación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1872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_5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864000" cy="1872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_5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864000" cy="1872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_6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864000" cy="1872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_9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838946" cy="1872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52_crop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946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838946" cy="1872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_33_cro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946" cy="18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</w:p>
          <w:p>
            <w:pPr>
              <w:jc w:val="center"/>
            </w:pPr>
            <w:r>
              <w:rPr>
                <w:rFonts w:ascii="Calibri" w:hAnsi="Calibri"/>
                <w:i/>
                <w:color w:val="595959"/>
                <w:sz w:val="16"/>
              </w:rPr>
              <w:t>Profesor: menú, asistencia masiva, notas con promedio y publicación en el muro. Apoderado: menú y muro con recepción confirmada y comentarios.</w:t>
            </w:r>
          </w:p>
        </w:tc>
      </w:tr>
    </w:tbl>
    <w:tbl>
      <w:tblPr>
        <w:tblStyle w:val="Tablaconcuadrcula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776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1450"/>
        <w:gridCol w:w="1000"/>
        <w:gridCol w:w="720"/>
        <w:gridCol w:w="1050"/>
        <w:gridCol w:w="1600"/>
        <w:gridCol w:w="1180"/>
        <w:gridCol w:w="1956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820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450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000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720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050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600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80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956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300"/>
        </w:trPr>
        <w:tc>
          <w:tcPr>
            <w:tcW w:w="820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3.1, 3.2, 4.1</w:t>
            </w:r>
          </w:p>
        </w:tc>
        <w:tc>
          <w:tcPr>
            <w:tcW w:w="1450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Documentación ágil y de diseño: Product Vision, Product Backlog, Definition of Done y Documento de Diseño</w:t>
            </w:r>
          </w:p>
        </w:tc>
        <w:tc>
          <w:tcPr>
            <w:tcW w:w="1000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Plantillas DUOC, Word, repositorio GitHub</w:t>
            </w:r>
          </w:p>
        </w:tc>
        <w:tc>
          <w:tcPr>
            <w:tcW w:w="720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S7–S9</w:t>
            </w:r>
          </w:p>
        </w:tc>
        <w:tc>
          <w:tcPr>
            <w:tcW w:w="1050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Fernando Pavez y Catalina Aguilar</w:t>
            </w:r>
          </w:p>
        </w:tc>
        <w:tc>
          <w:tcPr>
            <w:tcW w:w="1600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Facilitó: requisitos mínimos claros del docente. Dificultó: se incorporaron a mitad de fase y obligaron a alinear los documentos con el código.</w:t>
            </w:r>
          </w:p>
        </w:tc>
        <w:tc>
          <w:tcPr>
            <w:tcW w:w="118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A1A1A"/>
                <w:sz w:val="15"/>
              </w:rPr>
              <w:t>Completado</w:t>
            </w:r>
          </w:p>
        </w:tc>
        <w:tc>
          <w:tcPr>
            <w:tcW w:w="1956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Actividad agregada al plan por los requisitos mínimos del docente.</w:t>
            </w:r>
          </w:p>
        </w:tc>
      </w:tr>
      <w:tr w:rsidR="00FD5149" w:rsidRPr="006E3B0D" w14:paraId="0D4FAAA2" w14:textId="77777777" w:rsidTr="00EA0C09">
        <w:trPr>
          <w:trHeight w:val="300"/>
        </w:trPr>
        <w:tc>
          <w:tcPr>
            <w:tcW w:w="820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3.1, 3.2, 4.1</w:t>
            </w:r>
          </w:p>
        </w:tc>
        <w:tc>
          <w:tcPr>
            <w:tcW w:w="1450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Épica 1 · HU001 Inicio de sesión por rol (JWT y control de acceso por rol)</w:t>
            </w:r>
          </w:p>
        </w:tc>
        <w:tc>
          <w:tcPr>
            <w:tcW w:w="1000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Node.js, Express, PostgreSQL, bcrypt, JWT, Expo</w:t>
            </w:r>
          </w:p>
        </w:tc>
        <w:tc>
          <w:tcPr>
            <w:tcW w:w="720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S5</w:t>
            </w:r>
          </w:p>
        </w:tc>
        <w:tc>
          <w:tcPr>
            <w:tcW w:w="1050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Fernando Pavez y Catalina Aguilar</w:t>
            </w:r>
          </w:p>
        </w:tc>
        <w:tc>
          <w:tcPr>
            <w:tcW w:w="1600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Dificultó: curva de aprendizaje del control de acceso por roles.</w:t>
            </w:r>
          </w:p>
        </w:tc>
        <w:tc>
          <w:tcPr>
            <w:tcW w:w="118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A1A1A"/>
                <w:sz w:val="15"/>
              </w:rPr>
              <w:t>Completado</w:t>
            </w:r>
          </w:p>
        </w:tc>
        <w:tc>
          <w:tcPr>
            <w:tcW w:w="1956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Se sumará un límite de intentos fallidos (T6).</w:t>
            </w:r>
          </w:p>
        </w:tc>
      </w:tr>
      <w:tr w:rsidR="00FD5149" w:rsidRPr="006E3B0D" w14:paraId="0D4FAAA2" w14:textId="77777777" w:rsidTr="00EA0C09">
        <w:trPr>
          <w:trHeight w:val="300"/>
        </w:trPr>
        <w:tc>
          <w:tcPr>
            <w:tcW w:w="820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3.1, 3.2, 4.1</w:t>
            </w:r>
          </w:p>
        </w:tc>
        <w:tc>
          <w:tcPr>
            <w:tcW w:w="1450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Épica 1 · HU002 Registro masivo de asistencia</w:t>
            </w:r>
          </w:p>
        </w:tc>
        <w:tc>
          <w:tcPr>
            <w:tcW w:w="1000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Node.js, PostgreSQL, Expo</w:t>
            </w:r>
          </w:p>
        </w:tc>
        <w:tc>
          <w:tcPr>
            <w:tcW w:w="720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S5</w:t>
            </w:r>
          </w:p>
        </w:tc>
        <w:tc>
          <w:tcPr>
            <w:tcW w:w="1050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Fernando Pavez y Catalina Aguilar</w:t>
            </w:r>
          </w:p>
        </w:tc>
        <w:tc>
          <w:tcPr>
            <w:tcW w:w="1600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Facilitó: la restricción única alumno–fecha simplificó la corrección de registros.</w:t>
            </w:r>
          </w:p>
        </w:tc>
        <w:tc>
          <w:tcPr>
            <w:tcW w:w="118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A1A1A"/>
                <w:sz w:val="15"/>
              </w:rPr>
              <w:t>En curso</w:t>
            </w:r>
          </w:p>
        </w:tc>
        <w:tc>
          <w:tcPr>
            <w:tcW w:w="1956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Falta guardar en una sola transacción y bloquear fechas futuras (T1, T2).</w:t>
            </w:r>
          </w:p>
        </w:tc>
      </w:tr>
      <w:tr w:rsidR="00FD5149" w:rsidRPr="006E3B0D" w14:paraId="0D4FAAA2" w14:textId="77777777" w:rsidTr="00EA0C09">
        <w:trPr>
          <w:trHeight w:val="300"/>
        </w:trPr>
        <w:tc>
          <w:tcPr>
            <w:tcW w:w="820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3.1, 3.2, 4.1</w:t>
            </w:r>
          </w:p>
        </w:tc>
        <w:tc>
          <w:tcPr>
            <w:tcW w:w="1450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Épica 1 · HU003 Registro y edición de calificaciones</w:t>
            </w:r>
          </w:p>
        </w:tc>
        <w:tc>
          <w:tcPr>
            <w:tcW w:w="1000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Node.js, PostgreSQL, Expo</w:t>
            </w:r>
          </w:p>
        </w:tc>
        <w:tc>
          <w:tcPr>
            <w:tcW w:w="720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S6</w:t>
            </w:r>
          </w:p>
        </w:tc>
        <w:tc>
          <w:tcPr>
            <w:tcW w:w="1050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Fernando Pavez y Catalina Aguilar</w:t>
            </w:r>
          </w:p>
        </w:tc>
        <w:tc>
          <w:tcPr>
            <w:tcW w:w="1600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Validación de la escala 1,0–7,0 en la base de datos, el backend y la app.</w:t>
            </w:r>
          </w:p>
        </w:tc>
        <w:tc>
          <w:tcPr>
            <w:tcW w:w="118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A1A1A"/>
                <w:sz w:val="15"/>
              </w:rPr>
              <w:t>Completado</w:t>
            </w:r>
          </w:p>
        </w:tc>
        <w:tc>
          <w:tcPr>
            <w:tcW w:w="1956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—</w:t>
            </w:r>
          </w:p>
        </w:tc>
      </w:tr>
      <w:tr w:rsidR="00FD5149" w:rsidRPr="006E3B0D" w14:paraId="0D4FAAA2" w14:textId="77777777" w:rsidTr="00EA0C09">
        <w:trPr>
          <w:trHeight w:val="300"/>
        </w:trPr>
        <w:tc>
          <w:tcPr>
            <w:tcW w:w="820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3.1, 3.2, 4.1</w:t>
            </w:r>
          </w:p>
        </w:tc>
        <w:tc>
          <w:tcPr>
            <w:tcW w:w="1450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Épica 1 · HU004 Registro de anotaciones conductuales</w:t>
            </w:r>
          </w:p>
        </w:tc>
        <w:tc>
          <w:tcPr>
            <w:tcW w:w="1000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Node.js, PostgreSQL, Expo</w:t>
            </w:r>
          </w:p>
        </w:tc>
        <w:tc>
          <w:tcPr>
            <w:tcW w:w="720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S7</w:t>
            </w:r>
          </w:p>
        </w:tc>
        <w:tc>
          <w:tcPr>
            <w:tcW w:w="1050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Fernando Pavez y Catalina Aguilar</w:t>
            </w:r>
          </w:p>
        </w:tc>
        <w:tc>
          <w:tcPr>
            <w:tcW w:w="1600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—</w:t>
            </w:r>
          </w:p>
        </w:tc>
        <w:tc>
          <w:tcPr>
            <w:tcW w:w="118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A1A1A"/>
                <w:sz w:val="15"/>
              </w:rPr>
              <w:t>Completado</w:t>
            </w:r>
          </w:p>
        </w:tc>
        <w:tc>
          <w:tcPr>
            <w:tcW w:w="1956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—</w:t>
            </w:r>
          </w:p>
        </w:tc>
      </w:tr>
      <w:tr w:rsidR="00FD5149" w:rsidRPr="006E3B0D" w14:paraId="0D4FAAA2" w14:textId="77777777" w:rsidTr="00EA0C09">
        <w:trPr>
          <w:trHeight w:val="300"/>
        </w:trPr>
        <w:tc>
          <w:tcPr>
            <w:tcW w:w="820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3.1, 3.2</w:t>
            </w:r>
          </w:p>
        </w:tc>
        <w:tc>
          <w:tcPr>
            <w:tcW w:w="1450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Épica 1 · HU005 Consulta del registro de auditoría</w:t>
            </w:r>
          </w:p>
        </w:tc>
        <w:tc>
          <w:tcPr>
            <w:tcW w:w="1000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PostgreSQL (JSONB), Node.js, Expo</w:t>
            </w:r>
          </w:p>
        </w:tc>
        <w:tc>
          <w:tcPr>
            <w:tcW w:w="720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S7</w:t>
            </w:r>
          </w:p>
        </w:tc>
        <w:tc>
          <w:tcPr>
            <w:tcW w:w="1050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Fernando Pavez y Catalina Aguilar</w:t>
            </w:r>
          </w:p>
        </w:tc>
        <w:tc>
          <w:tcPr>
            <w:tcW w:w="1600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Facilitó: un único servicio de auditoría reutilizado por todos los módulos.</w:t>
            </w:r>
          </w:p>
        </w:tc>
        <w:tc>
          <w:tcPr>
            <w:tcW w:w="118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A1A1A"/>
                <w:sz w:val="15"/>
              </w:rPr>
              <w:t>Completado</w:t>
            </w:r>
          </w:p>
        </w:tc>
        <w:tc>
          <w:tcPr>
            <w:tcW w:w="1956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Se agregó una pantalla de consulta con filtros (antes, solo por API).</w:t>
            </w:r>
          </w:p>
        </w:tc>
      </w:tr>
      <w:tr w:rsidR="00FD5149" w:rsidRPr="006E3B0D" w14:paraId="0D4FAAA2" w14:textId="77777777" w:rsidTr="00EA0C09">
        <w:trPr>
          <w:trHeight w:val="300"/>
        </w:trPr>
        <w:tc>
          <w:tcPr>
            <w:tcW w:w="820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4.1, 4.2</w:t>
            </w:r>
          </w:p>
        </w:tc>
        <w:tc>
          <w:tcPr>
            <w:tcW w:w="1450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Épica 2 · HU006 Consulta del avance del pupilo</w:t>
            </w:r>
          </w:p>
        </w:tc>
        <w:tc>
          <w:tcPr>
            <w:tcW w:w="1000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React Native, API REST</w:t>
            </w:r>
          </w:p>
        </w:tc>
        <w:tc>
          <w:tcPr>
            <w:tcW w:w="720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S8</w:t>
            </w:r>
          </w:p>
        </w:tc>
        <w:tc>
          <w:tcPr>
            <w:tcW w:w="1050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Catalina Aguilar</w:t>
            </w:r>
          </w:p>
        </w:tc>
        <w:tc>
          <w:tcPr>
            <w:tcW w:w="1600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Facilitó: los filtros de seguridad del backend se reutilizaron en la app.</w:t>
            </w:r>
          </w:p>
        </w:tc>
        <w:tc>
          <w:tcPr>
            <w:tcW w:w="118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A1A1A"/>
                <w:sz w:val="15"/>
              </w:rPr>
              <w:t>Completado</w:t>
            </w:r>
          </w:p>
        </w:tc>
        <w:tc>
          <w:tcPr>
            <w:tcW w:w="1956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—</w:t>
            </w:r>
          </w:p>
        </w:tc>
      </w:tr>
      <w:tr w:rsidR="00FD5149" w:rsidRPr="006E3B0D" w14:paraId="0D4FAAA2" w14:textId="77777777" w:rsidTr="00EA0C09">
        <w:trPr>
          <w:trHeight w:val="300"/>
        </w:trPr>
        <w:tc>
          <w:tcPr>
            <w:tcW w:w="820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4.1, 4.2</w:t>
            </w:r>
          </w:p>
        </w:tc>
        <w:tc>
          <w:tcPr>
            <w:tcW w:w="1450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Épica 2 · HU007 Publicación de anuncios en el muro</w:t>
            </w:r>
          </w:p>
        </w:tc>
        <w:tc>
          <w:tcPr>
            <w:tcW w:w="1000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React Native, API REST</w:t>
            </w:r>
          </w:p>
        </w:tc>
        <w:tc>
          <w:tcPr>
            <w:tcW w:w="720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S9</w:t>
            </w:r>
          </w:p>
        </w:tc>
        <w:tc>
          <w:tcPr>
            <w:tcW w:w="1050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Catalina Aguilar</w:t>
            </w:r>
          </w:p>
        </w:tc>
        <w:tc>
          <w:tcPr>
            <w:tcW w:w="1600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—</w:t>
            </w:r>
          </w:p>
        </w:tc>
        <w:tc>
          <w:tcPr>
            <w:tcW w:w="118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A1A1A"/>
                <w:sz w:val="15"/>
              </w:rPr>
              <w:t>Completado</w:t>
            </w:r>
          </w:p>
        </w:tc>
        <w:tc>
          <w:tcPr>
            <w:tcW w:w="1956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Se completó antes de la semana planificada.</w:t>
            </w:r>
          </w:p>
        </w:tc>
      </w:tr>
      <w:tr w:rsidR="00FD5149" w:rsidRPr="006E3B0D" w14:paraId="0D4FAAA2" w14:textId="77777777" w:rsidTr="00EA0C09">
        <w:trPr>
          <w:trHeight w:val="300"/>
        </w:trPr>
        <w:tc>
          <w:tcPr>
            <w:tcW w:w="820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4.1, 4.2</w:t>
            </w:r>
          </w:p>
        </w:tc>
        <w:tc>
          <w:tcPr>
            <w:tcW w:w="1450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Épica 2 · HU008 Confirmación y comentarios de anuncios</w:t>
            </w:r>
          </w:p>
        </w:tc>
        <w:tc>
          <w:tcPr>
            <w:tcW w:w="1000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React Native, API REST</w:t>
            </w:r>
          </w:p>
        </w:tc>
        <w:tc>
          <w:tcPr>
            <w:tcW w:w="720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S10</w:t>
            </w:r>
          </w:p>
        </w:tc>
        <w:tc>
          <w:tcPr>
            <w:tcW w:w="1050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Catalina Aguilar</w:t>
            </w:r>
          </w:p>
        </w:tc>
        <w:tc>
          <w:tcPr>
            <w:tcW w:w="1600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Falta que el profesor vea quiénes confirmaron y cuántos faltan.</w:t>
            </w:r>
          </w:p>
        </w:tc>
        <w:tc>
          <w:tcPr>
            <w:tcW w:w="118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A1A1A"/>
                <w:sz w:val="15"/>
              </w:rPr>
              <w:t>En curso</w:t>
            </w:r>
          </w:p>
        </w:tc>
        <w:tc>
          <w:tcPr>
            <w:tcW w:w="1956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Se agrega la tarea T3 para el próximo sprint.</w:t>
            </w:r>
          </w:p>
        </w:tc>
      </w:tr>
      <w:tr w:rsidR="00FD5149" w:rsidRPr="006E3B0D" w14:paraId="0D4FAAA2" w14:textId="77777777" w:rsidTr="00EA0C09">
        <w:trPr>
          <w:trHeight w:val="300"/>
        </w:trPr>
        <w:tc>
          <w:tcPr>
            <w:tcW w:w="820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2.1, 4.2</w:t>
            </w:r>
          </w:p>
        </w:tc>
        <w:tc>
          <w:tcPr>
            <w:tcW w:w="1450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Épica 3 · HU009 Agente IA conversacional (RAG)</w:t>
            </w:r>
          </w:p>
        </w:tc>
        <w:tc>
          <w:tcPr>
            <w:tcW w:w="1000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Node.js, Gemini API, pgvector</w:t>
            </w:r>
          </w:p>
        </w:tc>
        <w:tc>
          <w:tcPr>
            <w:tcW w:w="720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S11–S12</w:t>
            </w:r>
          </w:p>
        </w:tc>
        <w:tc>
          <w:tcPr>
            <w:tcW w:w="1050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Fernando Pavez y Catalina Aguilar</w:t>
            </w:r>
          </w:p>
        </w:tc>
        <w:tc>
          <w:tcPr>
            <w:tcW w:w="1600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Riesgo: proteger los datos de los estudiantes frente al LLM. Mitigación: el modelo no accede a la base de datos y recibe solo datos filtrados y sin identificar.</w:t>
            </w:r>
          </w:p>
        </w:tc>
        <w:tc>
          <w:tcPr>
            <w:tcW w:w="118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A1A1A"/>
                <w:sz w:val="15"/>
              </w:rPr>
              <w:t>No iniciado</w:t>
            </w:r>
          </w:p>
        </w:tc>
        <w:tc>
          <w:tcPr>
            <w:tcW w:w="1956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Historia reescrita desde la perspectiva del apoderado; diseño listo.</w:t>
            </w:r>
          </w:p>
        </w:tc>
      </w:tr>
      <w:tr w:rsidR="00FD5149" w:rsidRPr="006E3B0D" w14:paraId="0D4FAAA2" w14:textId="77777777" w:rsidTr="00EA0C09">
        <w:trPr>
          <w:trHeight w:val="300"/>
        </w:trPr>
        <w:tc>
          <w:tcPr>
            <w:tcW w:w="820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2.1, 4.2</w:t>
            </w:r>
          </w:p>
        </w:tc>
        <w:tc>
          <w:tcPr>
            <w:tcW w:w="1450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Épica 3 · HU010 Alertas tempranas de rendimiento</w:t>
            </w:r>
          </w:p>
        </w:tc>
        <w:tc>
          <w:tcPr>
            <w:tcW w:w="1000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Node.js, PostgreSQL</w:t>
            </w:r>
          </w:p>
        </w:tc>
        <w:tc>
          <w:tcPr>
            <w:tcW w:w="720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S13</w:t>
            </w:r>
          </w:p>
        </w:tc>
        <w:tc>
          <w:tcPr>
            <w:tcW w:w="1050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Fernando Pavez y Catalina Aguilar</w:t>
            </w:r>
          </w:p>
        </w:tc>
        <w:tc>
          <w:tcPr>
            <w:tcW w:w="1600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Facilitó: reutiliza los cálculos de promedio y asistencia ya implementados.</w:t>
            </w:r>
          </w:p>
        </w:tc>
        <w:tc>
          <w:tcPr>
            <w:tcW w:w="118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A1A1A"/>
                <w:sz w:val="15"/>
              </w:rPr>
              <w:t>No iniciado</w:t>
            </w:r>
          </w:p>
        </w:tc>
        <w:tc>
          <w:tcPr>
            <w:tcW w:w="1956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Umbrales por defecto definidos: promedio 4,0 y asistencia 85 %.</w:t>
            </w:r>
          </w:p>
        </w:tc>
      </w:tr>
      <w:tr w:rsidR="00FD5149" w:rsidRPr="006E3B0D" w14:paraId="0D4FAAA2" w14:textId="77777777" w:rsidTr="00EA0C09">
        <w:trPr>
          <w:trHeight w:val="300"/>
        </w:trPr>
        <w:tc>
          <w:tcPr>
            <w:tcW w:w="820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4.1, 4.2</w:t>
            </w:r>
          </w:p>
        </w:tc>
        <w:tc>
          <w:tcPr>
            <w:tcW w:w="1450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Calidad: pruebas automatizadas, linter e integración continua (T5)</w:t>
            </w:r>
          </w:p>
        </w:tc>
        <w:tc>
          <w:tcPr>
            <w:tcW w:w="1000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Jest, Supertest, ESLint, GitHub Actions</w:t>
            </w:r>
          </w:p>
        </w:tc>
        <w:tc>
          <w:tcPr>
            <w:tcW w:w="720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S9–S14</w:t>
            </w:r>
          </w:p>
        </w:tc>
        <w:tc>
          <w:tcPr>
            <w:tcW w:w="1050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Fernando Pavez y Catalina Aguilar</w:t>
            </w:r>
          </w:p>
        </w:tc>
        <w:tc>
          <w:tcPr>
            <w:tcW w:w="1600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Requisito del Definition of Done y de los requerimientos mínimos.</w:t>
            </w:r>
          </w:p>
        </w:tc>
        <w:tc>
          <w:tcPr>
            <w:tcW w:w="118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A1A1A"/>
                <w:sz w:val="15"/>
              </w:rPr>
              <w:t>No iniciado</w:t>
            </w:r>
          </w:p>
        </w:tc>
        <w:tc>
          <w:tcPr>
            <w:tcW w:w="1956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Actividad nueva agregada al plan.</w:t>
            </w:r>
          </w:p>
        </w:tc>
      </w:tr>
      <w:tr w:rsidR="00FD5149" w:rsidRPr="006E3B0D" w14:paraId="0D4FAAA2" w14:textId="77777777" w:rsidTr="00EA0C09">
        <w:trPr>
          <w:trHeight w:val="300"/>
        </w:trPr>
        <w:tc>
          <w:tcPr>
            <w:tcW w:w="820" w:type="dxa"/>
          </w:tcPr>
          <w:p w14:paraId="29F01B29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4.1, 4.2</w:t>
            </w:r>
          </w:p>
        </w:tc>
        <w:tc>
          <w:tcPr>
            <w:tcW w:w="1450" w:type="dxa"/>
          </w:tcPr>
          <w:p w14:paraId="7B4EBE25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Ajustes de seguridad (T4, T6–T8) y despliegue con Docker, AWS y manual técnico (T11)</w:t>
            </w:r>
          </w:p>
        </w:tc>
        <w:tc>
          <w:tcPr>
            <w:tcW w:w="1000" w:type="dxa"/>
          </w:tcPr>
          <w:p w14:paraId="16E191DF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Docker, AWS, Express</w:t>
            </w:r>
          </w:p>
        </w:tc>
        <w:tc>
          <w:tcPr>
            <w:tcW w:w="720" w:type="dxa"/>
          </w:tcPr>
          <w:p w14:paraId="66A5D860" w14:textId="77777777" w:rsidR="00FD5149" w:rsidRPr="006E3B0D" w:rsidRDefault="00FD5149" w:rsidP="00FD5149">
            <w:pPr>
              <w:jc w:val="left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S13–S14</w:t>
            </w:r>
          </w:p>
        </w:tc>
        <w:tc>
          <w:tcPr>
            <w:tcW w:w="1050" w:type="dxa"/>
          </w:tcPr>
          <w:p w14:paraId="036AB5D8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Fernando Pavez y Catalina Aguilar</w:t>
            </w:r>
          </w:p>
        </w:tc>
        <w:tc>
          <w:tcPr>
            <w:tcW w:w="1600" w:type="dxa"/>
          </w:tcPr>
          <w:p w14:paraId="2FCEC037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Requisitos mínimos de la documentación final.</w:t>
            </w:r>
          </w:p>
        </w:tc>
        <w:tc>
          <w:tcPr>
            <w:tcW w:w="1180" w:type="dxa"/>
          </w:tcPr>
          <w:p w14:paraId="29B0BFEB" w14:textId="77777777" w:rsidR="00FD5149" w:rsidRPr="00E54467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i w:val="0"/>
                <w:color w:val="1A1A1A"/>
                <w:sz w:val="15"/>
              </w:rPr>
              <w:t>No iniciado</w:t>
            </w:r>
          </w:p>
        </w:tc>
        <w:tc>
          <w:tcPr>
            <w:tcW w:w="1956" w:type="dxa"/>
          </w:tcPr>
          <w:p w14:paraId="7C6D6F31" w14:textId="77777777" w:rsidR="00FD5149" w:rsidRPr="006E3B0D" w:rsidRDefault="00FD5149" w:rsidP="00FD5149">
            <w:pPr>
              <w:jc w:val="left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i w:val="0"/>
                <w:color w:val="1A1A1A"/>
                <w:sz w:val="15"/>
              </w:rPr>
              <w:t>Actividad nueva agregada al plan.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600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Factores que facilitaron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División clara de roles: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Fernando en backend y datos, y Catalina en arquitectura y frontend móvil, lo que permitió avanzar en paralelo.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Un solo lenguaje en todo el stack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(JavaScript/TypeScript) y Expo, que permite probar la misma app en el teléfono y en el navegador.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PostgreSQL embebido (PGlite) y Mock Data: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cualquiera puede ejecutar el proyecto sin instalar un servidor de base de datos, y no se arriesgan datos reales.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Retroalimentación del docente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en la reunión de control y en los requisitos mínimos documentales.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Factores que dificultaron y acciones tomadas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Curva de aprendizaje del control de acceso por roles y de la seguridad de la API.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Acción: se centralizó en un middleware reutilizable (autenticación, rol y filtros por curso o alumno), que ahora usan todos los módulos.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Requisitos documentales incorporados a mitad de fase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(Vision, Backlog, DoD, Diseño, UML). Acción: se elaboraron los documentos y se contrastaron con el código, lo que además permitió detectar 11 brechas y planificarlas.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Integración entre frontend y backend con poca sincronización.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Acción: aumentar la frecuencia de reuniones cortas de sincronización (daily) y trabajar con ramas y Pull Requests revisados.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Historial de commits concentrado en pocas entregas grandes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, lo que dificulta evidenciar el avance semanal. Acción: desde el próximo sprint, commits por historia o tarea.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Riesgo de exponer datos sensibles al integrar el LLM (Épica 3).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Acción: diseño RAG en que el modelo nunca accede a la base de datos, recibe solo datos ya filtrados y sin identificar, y el resto de la app sigue funcionando si la IA falla.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600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21026">
              <w:t xml:space="preserve"> 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Actividades eliminadas del alcance del PMV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Agendamiento de reuniones: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eliminado en la Propuesta Revisión 02 para asegurar la factibilidad en 10 semanas.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Sistema de recompensas: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no tenía una historia de usuario asociada y no aporta a los objetivos específicos. Se posterga a una versión futura (Product Vision, Revisión 02).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Opciones "Horario" y "Certificados" del menú del apoderado: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no forman parte del backlog y se retirarán de la app (T10).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Gestión de usuarios y cursos por pantalla: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en el PMV se cargan mediante un script de datos semilla.</w:t>
            </w:r>
          </w:p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Actividades ajustadas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Épica 1: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se incluyó explícitamente el inicio de sesión por rol (HU001), por lo que su peso pasó de 13 a 16 PF y el backlog total a 37 PF.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HU005 Auditoría: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además de la consulta por API, se implementó una pantalla con filtros para el Administrador.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HU009 Agente IA: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se reescribió desde la perspectiva del apoderado, que es quien recibe el valor, con criterios medibles (respuesta en 10 segundos o menos y sin inventar datos).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Nuevas tareas técnicas (T1 a T11)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derivadas de la revisión del código: transacción en la asistencia, ver quiénes confirmaron, acceso del Administrador, pruebas automatizadas, seguridad y despliegue.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Sprint 10 (semana 14)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reservado como holgura para pruebas y documentación final.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600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Épica 3 (HU009 y HU010): no iniciada, pero dentro de plazo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(semanas 11 a 14). Para no afectar el proyecto, el diseño técnico ya está terminado (arquitectura RAG, tablas y reglas de alerta), y el módulo se integra de forma desacoplada para que una falla del servicio externo no detenga la app.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HU002 y HU008: funcionales, con un criterio pendiente cada una.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Se cierran en el próximo sprint (T1, T2 y T3), antes de iniciar la Épica 3.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Pruebas automatizadas e integración continua: no iniciadas.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No estaban en el plan original y hoy las exige el Definition of Done. Estrategia: comenzar por las pruebas de permisos y validaciones del backend (las de mayor riesgo) e integrarlas en GitHub Actions; luego extenderlas en cada sprint.</w:t>
            </w:r>
          </w:p>
          <w:p>
            <w:pPr>
              <w:spacing w:after="40"/>
              <w:ind w:left="255" w:hanging="170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Despliegue (Docker, AWS, HTTPS) y manual técnico: no iniciados.</w:t>
            </w: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 xml:space="preserve"> Se abordan en las semanas 13 y 14, junto con la documentación final.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