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360" w:line="331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32"/>
          <w:u w:val="none"/>
        </w:rPr>
        <w:t xml:space="preserve">*Лабораторная работа №4 - Шаблонные классы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лжен получать команду для выполнения, и вызывать соответствующий метод класса игры.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Реализовать класс, отвечающий за отрисовку поля.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709" w:left="0"/>
        <w:jc w:val="both"/>
        <w:rPr/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Примечание: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Для представления команды можно разработать системы классов или использовать перечисление enum.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70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left"/>
      <w:lvlText w:val="%3."/>
      <w:numFmt w:val="lowerLetter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left"/>
      <w:lvlText w:val="%6."/>
      <w:numFmt w:val="lowerLetter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left"/>
      <w:lvlText w:val="%9."/>
      <w:numFmt w:val="lowerLetter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2024-10-13T09:24:41Z</dcterms:modified>
</cp:coreProperties>
</file>