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t>УНИВЕРСИТЕТ ИТМО</w:t>
      </w:r>
    </w:p>
    <w:p>
      <w:pPr>
        <w:spacing w:after="160"/>
        <w:jc w:val="center"/>
      </w:pPr>
      <w:r>
        <w:t>Факультет прикладной информатики</w:t>
      </w:r>
    </w:p>
    <w:p>
      <w:pPr>
        <w:spacing w:after="160"/>
        <w:jc w:val="center"/>
      </w:pPr>
      <w:r>
        <w:t>Направление подготовки 09.03.03 Прикладная информатика</w:t>
      </w:r>
    </w:p>
    <w:p>
      <w:pPr>
        <w:spacing w:after="160"/>
        <w:jc w:val="center"/>
      </w:pPr>
      <w:r>
        <w:t>Дисциплина «Автоматическая обработка текстов»</w:t>
      </w:r>
    </w:p>
    <w:p>
      <w:pPr>
        <w:spacing w:before="560"/>
        <w:jc w:val="center"/>
      </w:pPr>
      <w:r/>
      <w:r>
        <w:drawing>
          <wp:inline xmlns:a="http://schemas.openxmlformats.org/drawingml/2006/main" xmlns:pic="http://schemas.openxmlformats.org/drawingml/2006/picture">
            <wp:extent cx="1475999" cy="578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5999" cy="578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360"/>
        <w:jc w:val="center"/>
      </w:pPr>
      <w:r>
        <w:t>Отчёт по лабораторной работе № 6</w:t>
      </w:r>
    </w:p>
    <w:p>
      <w:pPr>
        <w:jc w:val="center"/>
      </w:pPr>
      <w:r>
        <w:t>AI детектив</w:t>
      </w:r>
    </w:p>
    <w:p>
      <w:pPr>
        <w:jc w:val="center"/>
      </w:pPr>
      <w:r>
        <w:t>Сравнение полного контекста, BM25 и p-adic организации доказательств</w:t>
      </w:r>
    </w:p>
    <w:p>
      <w:pPr>
        <w:spacing w:before="1300"/>
      </w:pPr>
      <w:r/>
    </w:p>
    <w:p>
      <w:pPr>
        <w:jc w:val="right"/>
      </w:pPr>
      <w:r>
        <w:t>Выполнили:</w:t>
      </w:r>
    </w:p>
    <w:p>
      <w:pPr>
        <w:jc w:val="right"/>
      </w:pPr>
      <w:r>
        <w:t>Генне Константин Валерьевич, К3440</w:t>
      </w:r>
    </w:p>
    <w:p>
      <w:pPr>
        <w:jc w:val="right"/>
      </w:pPr>
      <w:r>
        <w:t>Дедкова Анастасия Викторовна, К3440</w:t>
      </w:r>
    </w:p>
    <w:p>
      <w:pPr>
        <w:jc w:val="right"/>
      </w:pPr>
      <w:r>
        <w:t>Маракулин Андрей Андреевич, К3441</w:t>
      </w:r>
    </w:p>
    <w:p>
      <w:pPr>
        <w:jc w:val="right"/>
      </w:pPr>
      <w:r>
        <w:t>Преподаватель: Гусарова Н. Ф.</w:t>
      </w:r>
    </w:p>
    <w:p>
      <w:pPr>
        <w:spacing w:before="900"/>
      </w:pPr>
      <w:r/>
    </w:p>
    <w:p>
      <w:pPr>
        <w:jc w:val="center"/>
      </w:pPr>
      <w:r>
        <w:t>Санкт-Петербург, 2026</w:t>
      </w:r>
    </w:p>
    <w:p>
      <w:r>
        <w:br w:type="page"/>
      </w:r>
    </w:p>
    <w:p>
      <w:pPr>
        <w:pStyle w:val="Heading1"/>
      </w:pPr>
      <w:r>
        <w:t>Цель и данные</w:t>
      </w:r>
    </w:p>
    <w:p>
      <w:r>
        <w:t>Цель работы — проверить ответы одной языковой модели на вопросы по длинному вымышленному досье с разнесёнными фактами, временными условиями, правилами, противоречиями и недостатком данных. Сравниваются полнота контекста, поиск утверждений и организация одного и того же результата поиска.</w:t>
      </w:r>
    </w:p>
    <w:p>
      <w:r>
        <w:t>Досье «Ночной сеанс Нереиды» содержит 10 документов и 5023 слова в полях text при подсчёте по пробелам, 38 атомарных утверждений и 12 вопросов — по два каждого из шести типов. Подготовлены 36 стресс-кейсов: по 12 перестановок, удалений и добавлений противоречия. По сообщению участника команды от 17 октября 2026 года, эталоны и кейсы согласованы всеми участниками. Закрытая авторская последовательность событий не передавалась модели; эталоны основаны на открытом досье.</w:t>
      </w:r>
    </w:p>
    <w:p>
      <w:pPr>
        <w:pStyle w:val="Heading1"/>
      </w:pPr>
      <w:r>
        <w:t>Протокол</w:t>
      </w:r>
    </w:p>
    <w:p>
      <w:r>
        <w:t>Режим A передаёт все документы в фиксированном порядке и реестр ID утверждений. Режим B выбирает BM25 top-15; режим C передаёт те же ID, группируя их по p-adic пути [a₀,a₁,a₂] при p = 3 и сортируя по времени внутри ветви. Тип источника стоит первым, чтобы разделить системные записи, свидетельства и правила до учёта статуса и времени; при другом порядке уровней соседство утверждений изменилось бы.</w:t>
      </w:r>
    </w:p>
    <w:p>
      <w:r>
        <w:t>Во всех режимах использованы deepseek-flash, один системный промпт (prompts/system.txt), температура 0, max_tokens 1200, JSON Object и отключённое рассуждение. Выполнены 144 вызова. Сохранены полный переданный контекст, параметры, сырой ответ, токены и время. Шесть ответов нарушили правила формата или ссылок; их не перегенерировали и считают ошибками статуса. Все 144 контекста повторно сопоставлены с текущими данными.</w:t>
      </w:r>
    </w:p>
    <w:p>
      <w:pPr>
        <w:pStyle w:val="Heading1"/>
      </w:pPr>
      <w:r>
        <w:t>Результаты без стресс-тестов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1304"/>
        <w:gridCol w:w="1304"/>
        <w:gridCol w:w="1304"/>
      </w:tblGrid>
      <w:tr>
        <w:trPr>
          <w:tblHeader/>
        </w:trPr>
        <w:tc>
          <w:tcPr>
            <w:tcW w:type="dxa" w:w="2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Метрика</w:t>
            </w:r>
          </w:p>
        </w:tc>
        <w:tc>
          <w:tcPr>
            <w:tcW w:type="dxa" w:w="2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A</w:t>
            </w:r>
          </w:p>
        </w:tc>
        <w:tc>
          <w:tcPr>
            <w:tcW w:type="dxa" w:w="2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2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C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Верный статус / все 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10/12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10/12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10/12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Валидных ответов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10/12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12/12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12/12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Evidence precision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Evidence recall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0,39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Evidence F1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0,56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0,56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Counterevidence recall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Recall both / insufficient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 / 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 / 1,00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1,00 / 1,00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Уверенная догадка при insufficient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0,00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0,00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Средняя confidence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0,72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0,62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0,62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Входные токены, среднее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12274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921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1116</w:t>
            </w:r>
          </w:p>
        </w:tc>
      </w:tr>
      <w:t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Время, с, среднее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1,95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1,41</w:t>
            </w:r>
          </w:p>
        </w:tc>
      </w:tr>
    </w:tbl>
    <w:p>
      <w:pPr>
        <w:spacing w:after="0"/>
      </w:pPr>
    </w:p>
    <w:p>
      <w:r>
        <w:t>Точность статуса учитывает все 12 ответов каждого режима, включая невалидные как ошибки. Метрики доказательств, confidence, токенов и времени рассчитаны только по валидным ответам: 10 в A и по 12 в B/C. Для исходных both и insufficient всего по два вопроса, поэтому recall 1,00 нельзя считать устойчивой оценкой.</w:t>
      </w:r>
    </w:p>
    <w:p>
      <w:pPr>
        <w:pStyle w:val="Heading1"/>
      </w:pPr>
      <w:r>
        <w:t>Стресс-тесты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417"/>
        <w:gridCol w:w="1757"/>
        <w:gridCol w:w="1701"/>
        <w:gridCol w:w="1814"/>
      </w:tblGrid>
      <w:tr>
        <w:trPr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Изменение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Валидных пар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Статус изменился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Ожид. статус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3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ID стабильны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Перестановка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88%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100%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Удаление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34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29%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91%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8FAFC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79%</w:t>
            </w:r>
          </w:p>
        </w:tc>
      </w:tr>
      <w:t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Противоречие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34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47%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59%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/>
                <w:sz w:val="18"/>
              </w:rPr>
              <w:t>68%</w:t>
            </w:r>
          </w:p>
        </w:tc>
      </w:tr>
    </w:tbl>
    <w:p>
      <w:pPr>
        <w:spacing w:after="0"/>
      </w:pPr>
    </w:p>
    <w:p>
      <w:r>
        <w:t>Пары учитываются только при валидных исходном и изменённом ответах. Перестановка не изменила статус ни в одной из 32 пар; в A текст контекста менялся, а в B/C оставался одинаковым, поэтому результат B/C не измеряет влияние порядка документов. Для четырёх удалений необходимой посылки Q03–Q06 ожидаемый insufficient получен в 11 из 12 ответов; C ошибся на Q04. Остальные восемь удалений — контрольные.</w:t>
      </w:r>
    </w:p>
    <w:p>
      <w:r>
        <w:t>После добавления противоречия ожидаемый статус получен в 20 из 34 валидных пар. У Q09–Q10 исходно уже был both; у Q11–Q12 конфликт касался вспомогательного факта, и эталон остался insufficient. В Q08 новое рекомендательное разъяснение спорит с действующим регламентом, поэтому равный вес источников является ограничением этого кейса.</w:t>
      </w:r>
    </w:p>
    <w:p>
      <w:pPr>
        <w:pStyle w:val="Heading1"/>
      </w:pPr>
      <w:r>
        <w:t>Ответы на исследовательские вопросы</w:t>
      </w:r>
    </w:p>
    <w:p>
      <w:r>
        <w:t>Retrieval сократил средний вход с 12 274 до 921–1117 токенов, но не повысил точность статуса: во всех режимах 10/12. Evidence F1 у B/C составил 0,56 против 1,00 у валидных ответов A. Поиск пропустил C09 в Q06 и несколько оснований правила в Q07; модель B/C ответила insufficient.</w:t>
      </w:r>
    </w:p>
    <w:p>
      <w:r>
        <w:t>P-adic группировка не улучшила исходные противоречия Q09–Q10: B и C ответили both. На 47 валидных парах B/C при одинаковых ID статусы различались в четырёх случаях. В Q07 после добавления противоречия C получил эталонный both, а B — contradicted; в Q04 после удаления посылки B верно ответил insufficient, а C — contradicted. Это примеры возможной пользы и вреда упаковки, а не доказательство общего эффекта.</w:t>
      </w:r>
    </w:p>
    <w:p>
      <w:r>
        <w:t>На Q11–Q12 модель во всех трёх режимах отказалась от недоказанного вывода, без уверенных однозначных догадок. Средняя confidence среди валидных ответов составила 0,72/0,62/0,62 при доле верных статусов 1,00/0,83/0,83; на таком малом наборе это не доказывает калибровку. После удаления необходимой посылки ответ обычно становился insufficient, а на добавленные противоречия реакция была заметно слабее.</w:t>
      </w:r>
    </w:p>
    <w:p>
      <w:pPr>
        <w:pStyle w:val="Heading1"/>
      </w:pPr>
      <w:r>
        <w:t>Вывод и ограничения</w:t>
      </w:r>
    </w:p>
    <w:p>
      <w:r>
        <w:t>На одном вымышленном досье и одной модели сокращение контекста существенно уменьшило число токенов, но снизило полноту доказательств. Группировка p-adic не дала преимущества на исходных вопросах и по-разному влияла на отдельные стресс-кейсы. Шесть структурно ошибочных ответов и неудачная обработка части противоречий показывают, почему поиск, организацию контекста и генерацию нужно оценивать раздельно. Повторов одинакового запроса не было; температура 0 не гарантирует полной повторяемости, а причинный эффект порядка для B/C установить нельзя.</w:t>
      </w:r>
    </w:p>
    <w:p>
      <w:r>
        <w:t>Дедкова А. В. подготовила досье, утверждения, вопросы и эталоны; Генне К. В. проверил данные и реализовал BM25, p-adic организацию и стресс-кейсы; Маракулин А. А. интегрировал LLM, интерфейс, метрики и тесты. Эпизоды работы с ИИ и ручной проверки описаны в AI_LOG.md.</w:t>
      </w:r>
    </w:p>
    <w:sectPr w:rsidR="00FC693F" w:rsidRPr="0006063C" w:rsidSect="00034616">
      <w:footerReference w:type="default" r:id="rId10"/>
      <w:pgSz w:w="11906" w:h="16838"/>
      <w:pgMar w:top="1134" w:right="1134" w:bottom="1134" w:left="141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6 AI детектив</dc:title>
  <dc:subject/>
  <dc:creator>Генне К. В.; Дедкова А. В.; Маракулин А.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