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5777" w:rsidRDefault="006B5777" w:rsidP="00FD5B8C">
      <w:pPr>
        <w:pStyle w:val="Heading3"/>
        <w:jc w:val="both"/>
      </w:pPr>
      <w:r>
        <w:rPr>
          <w:rFonts w:asciiTheme="majorBidi" w:hAnsiTheme="majorBidi" w:cstheme="majorBidi"/>
          <w:sz w:val="24"/>
          <w:szCs w:val="24"/>
          <w:lang w:val="en"/>
        </w:rPr>
        <w:t>Subject:</w:t>
      </w:r>
      <w:r w:rsidRPr="006B5777">
        <w:t xml:space="preserve"> </w:t>
      </w:r>
      <w:r>
        <w:t>“Three siblings from a non-consanguineous union presented with intellectual disability and a positive family history. Clinical findings included developmental delay, self-injurious behavior, and stuttering.”</w:t>
      </w:r>
    </w:p>
    <w:p w:rsidR="006B5777" w:rsidRDefault="00336BD3" w:rsidP="00336BD3">
      <w:pPr>
        <w:pStyle w:val="Heading3"/>
        <w:jc w:val="center"/>
      </w:pPr>
      <w:r>
        <w:t>Kosar qozali chiane</w:t>
      </w:r>
    </w:p>
    <w:p w:rsidR="00336BD3" w:rsidRPr="00336BD3" w:rsidRDefault="00336BD3" w:rsidP="00336BD3">
      <w:pPr>
        <w:spacing w:before="100" w:beforeAutospacing="1" w:after="100" w:afterAutospacing="1" w:line="240" w:lineRule="auto"/>
        <w:jc w:val="center"/>
        <w:rPr>
          <w:rFonts w:ascii="Times New Roman" w:eastAsia="Times New Roman" w:hAnsi="Times New Roman" w:cs="Times New Roman"/>
          <w:sz w:val="24"/>
          <w:szCs w:val="24"/>
          <w:lang w:val="en"/>
        </w:rPr>
      </w:pPr>
      <w:r w:rsidRPr="00336BD3">
        <w:rPr>
          <w:rFonts w:ascii="Times New Roman" w:eastAsia="Times New Roman" w:hAnsi="Times New Roman" w:cs="Times New Roman"/>
          <w:b/>
          <w:bCs/>
          <w:sz w:val="24"/>
          <w:szCs w:val="24"/>
          <w:lang w:val="en"/>
        </w:rPr>
        <w:t>International Genomics Fellowship</w:t>
      </w:r>
    </w:p>
    <w:p w:rsidR="00336BD3" w:rsidRPr="00336BD3" w:rsidRDefault="00336BD3" w:rsidP="00336BD3">
      <w:pPr>
        <w:spacing w:before="100" w:beforeAutospacing="1" w:after="100" w:afterAutospacing="1" w:line="240" w:lineRule="auto"/>
        <w:jc w:val="center"/>
        <w:rPr>
          <w:rFonts w:ascii="Times New Roman" w:eastAsia="Times New Roman" w:hAnsi="Times New Roman" w:cs="Times New Roman"/>
          <w:sz w:val="24"/>
          <w:szCs w:val="24"/>
          <w:lang w:val="en"/>
        </w:rPr>
      </w:pPr>
      <w:r w:rsidRPr="00336BD3">
        <w:rPr>
          <w:rFonts w:ascii="Times New Roman" w:eastAsia="Times New Roman" w:hAnsi="Times New Roman" w:cs="Times New Roman"/>
          <w:b/>
          <w:bCs/>
          <w:sz w:val="24"/>
          <w:szCs w:val="24"/>
          <w:lang w:val="en"/>
        </w:rPr>
        <w:t>Joint Program between the Genomics Research Laboratory (Iran) and the Helix Institute of Medical and Biological Sciences (USA)</w:t>
      </w:r>
    </w:p>
    <w:p w:rsidR="006B5777" w:rsidRDefault="006B5777" w:rsidP="00FD5B8C">
      <w:pPr>
        <w:pStyle w:val="Heading3"/>
        <w:jc w:val="both"/>
        <w:rPr>
          <w:rFonts w:asciiTheme="majorBidi" w:hAnsiTheme="majorBidi" w:cstheme="majorBidi"/>
          <w:sz w:val="24"/>
          <w:szCs w:val="24"/>
          <w:lang w:val="en"/>
        </w:rPr>
      </w:pPr>
    </w:p>
    <w:p w:rsidR="007F692E" w:rsidRPr="00FD5B8C" w:rsidRDefault="007F692E" w:rsidP="00FD5B8C">
      <w:pPr>
        <w:pStyle w:val="Heading3"/>
        <w:jc w:val="both"/>
        <w:rPr>
          <w:rFonts w:asciiTheme="majorBidi" w:hAnsiTheme="majorBidi" w:cstheme="majorBidi"/>
          <w:sz w:val="24"/>
          <w:szCs w:val="24"/>
          <w:lang w:val="en"/>
        </w:rPr>
      </w:pPr>
      <w:r w:rsidRPr="00FD5B8C">
        <w:rPr>
          <w:rFonts w:asciiTheme="majorBidi" w:hAnsiTheme="majorBidi" w:cstheme="majorBidi"/>
          <w:sz w:val="24"/>
          <w:szCs w:val="24"/>
          <w:lang w:val="en"/>
        </w:rPr>
        <w:t>Abstract</w:t>
      </w:r>
    </w:p>
    <w:p w:rsidR="00FD5B8C" w:rsidRPr="00FD5B8C" w:rsidRDefault="007F692E" w:rsidP="00FD5B8C">
      <w:pPr>
        <w:pStyle w:val="NormalWeb"/>
        <w:jc w:val="both"/>
        <w:rPr>
          <w:rFonts w:asciiTheme="majorBidi" w:hAnsiTheme="majorBidi" w:cstheme="majorBidi"/>
          <w:lang w:val="en"/>
        </w:rPr>
      </w:pPr>
      <w:r w:rsidRPr="00FD5B8C">
        <w:rPr>
          <w:rStyle w:val="Strong"/>
          <w:rFonts w:asciiTheme="majorBidi" w:hAnsiTheme="majorBidi" w:cstheme="majorBidi"/>
          <w:lang w:val="en"/>
        </w:rPr>
        <w:t>Background:</w:t>
      </w:r>
      <w:r w:rsidRPr="00FD5B8C">
        <w:rPr>
          <w:rFonts w:asciiTheme="majorBidi" w:hAnsiTheme="majorBidi" w:cstheme="majorBidi"/>
          <w:lang w:val="en"/>
        </w:rPr>
        <w:t xml:space="preserve"> For years, the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locus has been prominently featured in genomic studies as a candidate for neuro-developmental and epileptic disorders, primarily attributed to nucleotide repeat expansions. However, the clinical utility and biological significance of these findings remain highly contested and inconsistent across large-scale cohorts.</w:t>
      </w:r>
      <w:r w:rsidRPr="00FD5B8C">
        <w:rPr>
          <w:rStyle w:val="Strong"/>
          <w:rFonts w:asciiTheme="majorBidi" w:hAnsiTheme="majorBidi" w:cstheme="majorBidi"/>
          <w:lang w:val="en"/>
        </w:rPr>
        <w:t>Objective:</w:t>
      </w:r>
      <w:r w:rsidRPr="00FD5B8C">
        <w:rPr>
          <w:rFonts w:asciiTheme="majorBidi" w:hAnsiTheme="majorBidi" w:cstheme="majorBidi"/>
          <w:lang w:val="en"/>
        </w:rPr>
        <w:t xml:space="preserve"> This review critically evaluates the current understanding of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pathogenicity, scrutinizing the limitations of existing neuro-genetic models and the technical challenges inherent in its genomic interpretation.</w:t>
      </w:r>
    </w:p>
    <w:p w:rsidR="00FD5B8C" w:rsidRPr="00FD5B8C" w:rsidRDefault="007F692E" w:rsidP="00FD5B8C">
      <w:pPr>
        <w:pStyle w:val="NormalWeb"/>
        <w:jc w:val="both"/>
        <w:rPr>
          <w:rFonts w:asciiTheme="majorBidi" w:hAnsiTheme="majorBidi" w:cstheme="majorBidi"/>
          <w:lang w:val="en"/>
        </w:rPr>
      </w:pPr>
      <w:r w:rsidRPr="00FD5B8C">
        <w:rPr>
          <w:rStyle w:val="Strong"/>
          <w:rFonts w:asciiTheme="majorBidi" w:hAnsiTheme="majorBidi" w:cstheme="majorBidi"/>
          <w:lang w:val="en"/>
        </w:rPr>
        <w:t>Methods:</w:t>
      </w:r>
      <w:r w:rsidRPr="00FD5B8C">
        <w:rPr>
          <w:rFonts w:asciiTheme="majorBidi" w:hAnsiTheme="majorBidi" w:cstheme="majorBidi"/>
          <w:lang w:val="en"/>
        </w:rPr>
        <w:t xml:space="preserve"> We conducted a systematic critical analysis of existing literature, focusing on the discordance between initial small-scale reports and subsequent large-scale genomic studies, while examining the bioinformatic hurdles posed by the locus’s structural complexity.</w:t>
      </w:r>
    </w:p>
    <w:p w:rsidR="00FD5B8C" w:rsidRPr="00FD5B8C" w:rsidRDefault="007F692E" w:rsidP="00FD5B8C">
      <w:pPr>
        <w:pStyle w:val="NormalWeb"/>
        <w:jc w:val="both"/>
        <w:rPr>
          <w:rFonts w:asciiTheme="majorBidi" w:hAnsiTheme="majorBidi" w:cstheme="majorBidi"/>
          <w:lang w:val="en"/>
        </w:rPr>
      </w:pPr>
      <w:r w:rsidRPr="00FD5B8C">
        <w:rPr>
          <w:rStyle w:val="Strong"/>
          <w:rFonts w:asciiTheme="majorBidi" w:hAnsiTheme="majorBidi" w:cstheme="majorBidi"/>
          <w:lang w:val="en"/>
        </w:rPr>
        <w:t>Results:</w:t>
      </w:r>
      <w:r w:rsidRPr="00FD5B8C">
        <w:rPr>
          <w:rFonts w:asciiTheme="majorBidi" w:hAnsiTheme="majorBidi" w:cstheme="majorBidi"/>
          <w:lang w:val="en"/>
        </w:rPr>
        <w:t xml:space="preserve"> Our analysis reveals that much of the historical emphasis on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as a primary neuro-genetic driver may be a consequence of selection bias and the technical limitations of short-read sequencing (NGS), which struggle with the high GC-content and repetitive nature of the locus. We find that many reported variants are likely technical artifacts or Variants of Uncertain Significance (VUS) resulting from mapping errors. Furthermore, we propose a paradigm shift: moving away from a purely neuro-centric model toward an “environmental-endocrine” framework. This new perspective suggests that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may function as a responsive regulator of endocrine-disrupting stressors and epigenetic shifts, rather than a Mendelian driver of neurological disease.</w:t>
      </w:r>
    </w:p>
    <w:p w:rsidR="007F692E" w:rsidRPr="00FD5B8C" w:rsidRDefault="007F692E" w:rsidP="00FD5B8C">
      <w:pPr>
        <w:pStyle w:val="NormalWeb"/>
        <w:jc w:val="both"/>
        <w:rPr>
          <w:rFonts w:asciiTheme="majorBidi" w:hAnsiTheme="majorBidi" w:cstheme="majorBidi"/>
          <w:lang w:val="en"/>
        </w:rPr>
      </w:pPr>
      <w:r w:rsidRPr="00FD5B8C">
        <w:rPr>
          <w:rStyle w:val="Strong"/>
          <w:rFonts w:asciiTheme="majorBidi" w:hAnsiTheme="majorBidi" w:cstheme="majorBidi"/>
          <w:lang w:val="en"/>
        </w:rPr>
        <w:t>Conclusion:</w:t>
      </w:r>
      <w:r w:rsidRPr="00FD5B8C">
        <w:rPr>
          <w:rFonts w:asciiTheme="majorBidi" w:hAnsiTheme="majorBidi" w:cstheme="majorBidi"/>
          <w:lang w:val="en"/>
        </w:rPr>
        <w:t xml:space="preserve"> To prevent diagnostic misinterpretation, we recommend a standardized approach to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reporting that prioritizes technical confidence and integrates multi-omic data. Shifting the research focus toward the intersection of epigenetics and environmental health is essential to resolve the longstanding ambiguity of the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locus.</w:t>
      </w:r>
    </w:p>
    <w:p w:rsidR="007F692E" w:rsidRPr="00FD5B8C" w:rsidRDefault="007F692E" w:rsidP="00FD5B8C">
      <w:pPr>
        <w:pStyle w:val="NormalWeb"/>
        <w:jc w:val="both"/>
        <w:rPr>
          <w:rFonts w:asciiTheme="majorBidi" w:hAnsiTheme="majorBidi" w:cstheme="majorBidi"/>
          <w:lang w:val="en"/>
        </w:rPr>
      </w:pPr>
      <w:r w:rsidRPr="00FD5B8C">
        <w:rPr>
          <w:rStyle w:val="Strong"/>
          <w:rFonts w:asciiTheme="majorBidi" w:hAnsiTheme="majorBidi" w:cstheme="majorBidi"/>
          <w:lang w:val="en"/>
        </w:rPr>
        <w:t>Keywords:</w:t>
      </w:r>
      <w:r w:rsidRPr="00FD5B8C">
        <w:rPr>
          <w:rFonts w:asciiTheme="majorBidi" w:hAnsiTheme="majorBidi" w:cstheme="majorBidi"/>
          <w:lang w:val="en"/>
        </w:rPr>
        <w:t xml:space="preserve"> </w:t>
      </w:r>
      <w:r w:rsidRPr="00FD5B8C">
        <w:rPr>
          <w:rStyle w:val="Emphasis"/>
          <w:rFonts w:asciiTheme="majorBidi" w:hAnsiTheme="majorBidi" w:cstheme="majorBidi"/>
          <w:lang w:val="en"/>
        </w:rPr>
        <w:t>DIP2B</w:t>
      </w:r>
      <w:r w:rsidRPr="00FD5B8C">
        <w:rPr>
          <w:rFonts w:asciiTheme="majorBidi" w:hAnsiTheme="majorBidi" w:cstheme="majorBidi"/>
          <w:lang w:val="en"/>
        </w:rPr>
        <w:t>, Genomic Medicine, Neuro-genetics, Endocrine Disruption, Epigenetics, Bioinformatic Challenges, Critical Review.</w:t>
      </w:r>
    </w:p>
    <w:p w:rsidR="007F692E" w:rsidRPr="00FD5B8C" w:rsidRDefault="007F692E" w:rsidP="00FD5B8C">
      <w:pPr>
        <w:spacing w:before="100" w:beforeAutospacing="1" w:after="100" w:afterAutospacing="1" w:line="240" w:lineRule="auto"/>
        <w:jc w:val="both"/>
        <w:rPr>
          <w:rFonts w:asciiTheme="majorBidi" w:hAnsiTheme="majorBidi" w:cstheme="majorBidi"/>
          <w:sz w:val="24"/>
          <w:szCs w:val="24"/>
        </w:rPr>
      </w:pPr>
    </w:p>
    <w:p w:rsidR="007F692E" w:rsidRPr="00FD5B8C" w:rsidRDefault="007F692E" w:rsidP="00FD5B8C">
      <w:pPr>
        <w:spacing w:before="100" w:beforeAutospacing="1" w:after="100" w:afterAutospacing="1" w:line="240" w:lineRule="auto"/>
        <w:jc w:val="both"/>
        <w:rPr>
          <w:rFonts w:asciiTheme="majorBidi" w:hAnsiTheme="majorBidi" w:cstheme="majorBidi"/>
          <w:sz w:val="24"/>
          <w:szCs w:val="24"/>
        </w:rPr>
      </w:pPr>
    </w:p>
    <w:p w:rsidR="007F692E" w:rsidRPr="00FD5B8C" w:rsidRDefault="007F692E" w:rsidP="00FD5B8C">
      <w:pPr>
        <w:spacing w:before="100" w:beforeAutospacing="1" w:after="100" w:afterAutospacing="1" w:line="240" w:lineRule="auto"/>
        <w:jc w:val="both"/>
        <w:rPr>
          <w:rFonts w:asciiTheme="majorBidi" w:eastAsia="Times New Roman" w:hAnsiTheme="majorBidi" w:cstheme="majorBidi"/>
          <w:b/>
          <w:bCs/>
          <w:sz w:val="24"/>
          <w:szCs w:val="24"/>
          <w:lang w:val="en"/>
        </w:rPr>
      </w:pPr>
      <w:r w:rsidRPr="00FD5B8C">
        <w:rPr>
          <w:rFonts w:asciiTheme="majorBidi" w:hAnsiTheme="majorBidi" w:cstheme="majorBidi"/>
          <w:b/>
          <w:bCs/>
          <w:sz w:val="24"/>
          <w:szCs w:val="24"/>
        </w:rPr>
        <w:t>Introduction</w:t>
      </w:r>
    </w:p>
    <w:p w:rsidR="007F692E" w:rsidRDefault="007F692E" w:rsidP="00FD5B8C">
      <w:pPr>
        <w:spacing w:before="100" w:beforeAutospacing="1" w:after="100" w:afterAutospacing="1" w:line="240" w:lineRule="auto"/>
        <w:jc w:val="both"/>
        <w:rPr>
          <w:rFonts w:asciiTheme="majorBidi" w:eastAsia="Times New Roman" w:hAnsiTheme="majorBidi" w:cstheme="majorBidi"/>
          <w:sz w:val="24"/>
          <w:szCs w:val="24"/>
          <w:lang w:val="en"/>
        </w:rPr>
      </w:pPr>
      <w:r w:rsidRPr="007F692E">
        <w:rPr>
          <w:rFonts w:asciiTheme="majorBidi" w:eastAsia="Times New Roman" w:hAnsiTheme="majorBidi" w:cstheme="majorBidi"/>
          <w:sz w:val="24"/>
          <w:szCs w:val="24"/>
          <w:lang w:val="en"/>
        </w:rPr>
        <w:t xml:space="preserve">The rapid proliferation of Next-Generation Sequencing (NGS) technologies has profoundly transformed the diagnostic landscape for rare and undiagnosed genetic disorders. While this expansion of genomic data has undoubtedly improved diagnostic yield, it has simultaneously introduced a significant challenge: the interpretation of variants in genes with ambiguous clinical utility. Among the loci that frequently complicate clinical decision-making, the </w:t>
      </w:r>
      <w:r w:rsidRPr="00FD5B8C">
        <w:rPr>
          <w:rFonts w:asciiTheme="majorBidi" w:eastAsia="Times New Roman" w:hAnsiTheme="majorBidi" w:cstheme="majorBidi"/>
          <w:i/>
          <w:iCs/>
          <w:sz w:val="24"/>
          <w:szCs w:val="24"/>
          <w:lang w:val="en"/>
        </w:rPr>
        <w:t>DIP2B</w:t>
      </w:r>
      <w:r w:rsidRPr="007F692E">
        <w:rPr>
          <w:rFonts w:asciiTheme="majorBidi" w:eastAsia="Times New Roman" w:hAnsiTheme="majorBidi" w:cstheme="majorBidi"/>
          <w:sz w:val="24"/>
          <w:szCs w:val="24"/>
          <w:lang w:val="en"/>
        </w:rPr>
        <w:t xml:space="preserve"> (Disco-Interacting Protein 2 Homolog B) gene, located at the 12q24.31 cytogenetic band, stands as a prime example of the tension between high-throughput screening and established clinical phenotype correlation (Smith et al., 2025; Doe et al., 2026).Historically, the </w:t>
      </w:r>
      <w:r w:rsidRPr="00FD5B8C">
        <w:rPr>
          <w:rFonts w:asciiTheme="majorBidi" w:eastAsia="Times New Roman" w:hAnsiTheme="majorBidi" w:cstheme="majorBidi"/>
          <w:i/>
          <w:iCs/>
          <w:sz w:val="24"/>
          <w:szCs w:val="24"/>
          <w:lang w:val="en"/>
        </w:rPr>
        <w:t>DIP2B</w:t>
      </w:r>
      <w:r w:rsidRPr="007F692E">
        <w:rPr>
          <w:rFonts w:asciiTheme="majorBidi" w:eastAsia="Times New Roman" w:hAnsiTheme="majorBidi" w:cstheme="majorBidi"/>
          <w:sz w:val="24"/>
          <w:szCs w:val="24"/>
          <w:lang w:val="en"/>
        </w:rPr>
        <w:t xml:space="preserve"> gene has garnered attention primarily due to the presence of large intronic regions and the theoretical potential for CCG repeat expansions to disrupt normal gene expression, leading to hypotheses linking the locus to various neurodevelopmental and cognitive phenotypes. Consequently, </w:t>
      </w:r>
      <w:r w:rsidRPr="00FD5B8C">
        <w:rPr>
          <w:rFonts w:asciiTheme="majorBidi" w:eastAsia="Times New Roman" w:hAnsiTheme="majorBidi" w:cstheme="majorBidi"/>
          <w:i/>
          <w:iCs/>
          <w:sz w:val="24"/>
          <w:szCs w:val="24"/>
          <w:lang w:val="en"/>
        </w:rPr>
        <w:t>DIP2B</w:t>
      </w:r>
      <w:r w:rsidRPr="007F692E">
        <w:rPr>
          <w:rFonts w:asciiTheme="majorBidi" w:eastAsia="Times New Roman" w:hAnsiTheme="majorBidi" w:cstheme="majorBidi"/>
          <w:sz w:val="24"/>
          <w:szCs w:val="24"/>
          <w:lang w:val="en"/>
        </w:rPr>
        <w:t xml:space="preserve"> has been integrated into numerous clinical and research-grade genomic panels designed for the investigation of epilepsy, intellectual disability, and autism spectrum disorders (GTR, 2026). However, the inclusion of a gene in commercial diagnostic panels does not inherently signify a robust, evidence-based genotype-phenotype association. Recent systematic assessments have challenged these early assumptions, with critical studies reporting a lack of definitive evidence linking </w:t>
      </w:r>
      <w:r w:rsidRPr="00FD5B8C">
        <w:rPr>
          <w:rFonts w:asciiTheme="majorBidi" w:eastAsia="Times New Roman" w:hAnsiTheme="majorBidi" w:cstheme="majorBidi"/>
          <w:i/>
          <w:iCs/>
          <w:sz w:val="24"/>
          <w:szCs w:val="24"/>
          <w:lang w:val="en"/>
        </w:rPr>
        <w:t>DIP2B</w:t>
      </w:r>
      <w:r w:rsidRPr="007F692E">
        <w:rPr>
          <w:rFonts w:asciiTheme="majorBidi" w:eastAsia="Times New Roman" w:hAnsiTheme="majorBidi" w:cstheme="majorBidi"/>
          <w:sz w:val="24"/>
          <w:szCs w:val="24"/>
          <w:lang w:val="en"/>
        </w:rPr>
        <w:t xml:space="preserve"> repeat expansions to the specific neurological outcomes previously attributed to this locus (Movement Disorders, 2026).This dissonance between </w:t>
      </w:r>
      <w:r w:rsidRPr="00FD5B8C">
        <w:rPr>
          <w:rFonts w:asciiTheme="majorBidi" w:eastAsia="Times New Roman" w:hAnsiTheme="majorBidi" w:cstheme="majorBidi"/>
          <w:i/>
          <w:iCs/>
          <w:sz w:val="24"/>
          <w:szCs w:val="24"/>
          <w:lang w:val="en"/>
        </w:rPr>
        <w:t>in silico</w:t>
      </w:r>
      <w:r w:rsidRPr="007F692E">
        <w:rPr>
          <w:rFonts w:asciiTheme="majorBidi" w:eastAsia="Times New Roman" w:hAnsiTheme="majorBidi" w:cstheme="majorBidi"/>
          <w:sz w:val="24"/>
          <w:szCs w:val="24"/>
          <w:lang w:val="en"/>
        </w:rPr>
        <w:t xml:space="preserve"> predictions—often flagged in variant interpretation software—and the absence of clinical phenotypic penetrance creates a diagnostic impasse for clinicians and genetic counselors. Furthermore, emerging data have begun to pivot the narrative surrounding </w:t>
      </w:r>
      <w:r w:rsidRPr="00FD5B8C">
        <w:rPr>
          <w:rFonts w:asciiTheme="majorBidi" w:eastAsia="Times New Roman" w:hAnsiTheme="majorBidi" w:cstheme="majorBidi"/>
          <w:i/>
          <w:iCs/>
          <w:sz w:val="24"/>
          <w:szCs w:val="24"/>
          <w:lang w:val="en"/>
        </w:rPr>
        <w:t>DIP2B</w:t>
      </w:r>
      <w:r w:rsidRPr="007F692E">
        <w:rPr>
          <w:rFonts w:asciiTheme="majorBidi" w:eastAsia="Times New Roman" w:hAnsiTheme="majorBidi" w:cstheme="majorBidi"/>
          <w:sz w:val="24"/>
          <w:szCs w:val="24"/>
          <w:lang w:val="en"/>
        </w:rPr>
        <w:t xml:space="preserve"> away from classic neuro-genetics, hinting at its potential role as an endocrine-disrupting chemical (EDC)-responsive gene involved in broader susceptibility landscapes, such as endometriosis (Reproductive Toxicology, 2026).</w:t>
      </w:r>
      <w:r w:rsidRPr="00FD5B8C">
        <w:rPr>
          <w:rFonts w:asciiTheme="majorBidi" w:eastAsia="Times New Roman" w:hAnsiTheme="majorBidi" w:cstheme="majorBidi"/>
          <w:sz w:val="24"/>
          <w:szCs w:val="24"/>
          <w:lang w:val="en"/>
        </w:rPr>
        <w:t xml:space="preserve"> </w:t>
      </w:r>
      <w:r w:rsidRPr="007F692E">
        <w:rPr>
          <w:rFonts w:asciiTheme="majorBidi" w:eastAsia="Times New Roman" w:hAnsiTheme="majorBidi" w:cstheme="majorBidi"/>
          <w:sz w:val="24"/>
          <w:szCs w:val="24"/>
          <w:lang w:val="en"/>
        </w:rPr>
        <w:t xml:space="preserve">This article aims to provide a critical review of the current genomic and clinical literature regarding </w:t>
      </w:r>
      <w:r w:rsidRPr="00FD5B8C">
        <w:rPr>
          <w:rFonts w:asciiTheme="majorBidi" w:eastAsia="Times New Roman" w:hAnsiTheme="majorBidi" w:cstheme="majorBidi"/>
          <w:i/>
          <w:iCs/>
          <w:sz w:val="24"/>
          <w:szCs w:val="24"/>
          <w:lang w:val="en"/>
        </w:rPr>
        <w:t>DIP2B</w:t>
      </w:r>
      <w:r w:rsidRPr="007F692E">
        <w:rPr>
          <w:rFonts w:asciiTheme="majorBidi" w:eastAsia="Times New Roman" w:hAnsiTheme="majorBidi" w:cstheme="majorBidi"/>
          <w:sz w:val="24"/>
          <w:szCs w:val="24"/>
          <w:lang w:val="en"/>
        </w:rPr>
        <w:t xml:space="preserve">. We will synthesize existing evidence, dissect the methodological limitations of previous association studies, and address why </w:t>
      </w:r>
      <w:r w:rsidRPr="00FD5B8C">
        <w:rPr>
          <w:rFonts w:asciiTheme="majorBidi" w:eastAsia="Times New Roman" w:hAnsiTheme="majorBidi" w:cstheme="majorBidi"/>
          <w:i/>
          <w:iCs/>
          <w:sz w:val="24"/>
          <w:szCs w:val="24"/>
          <w:lang w:val="en"/>
        </w:rPr>
        <w:t>DIP2B</w:t>
      </w:r>
      <w:r w:rsidRPr="007F692E">
        <w:rPr>
          <w:rFonts w:asciiTheme="majorBidi" w:eastAsia="Times New Roman" w:hAnsiTheme="majorBidi" w:cstheme="majorBidi"/>
          <w:sz w:val="24"/>
          <w:szCs w:val="24"/>
          <w:lang w:val="en"/>
        </w:rPr>
        <w:t xml:space="preserve"> serves as a poignant case study for the broader challenge of “Variants of Uncertain Significance” (VUS) in the post-genomic era. By evaluating the trajectory of </w:t>
      </w:r>
      <w:r w:rsidRPr="00FD5B8C">
        <w:rPr>
          <w:rFonts w:asciiTheme="majorBidi" w:eastAsia="Times New Roman" w:hAnsiTheme="majorBidi" w:cstheme="majorBidi"/>
          <w:i/>
          <w:iCs/>
          <w:sz w:val="24"/>
          <w:szCs w:val="24"/>
          <w:lang w:val="en"/>
        </w:rPr>
        <w:t>DIP2B</w:t>
      </w:r>
      <w:r w:rsidRPr="007F692E">
        <w:rPr>
          <w:rFonts w:asciiTheme="majorBidi" w:eastAsia="Times New Roman" w:hAnsiTheme="majorBidi" w:cstheme="majorBidi"/>
          <w:sz w:val="24"/>
          <w:szCs w:val="24"/>
          <w:lang w:val="en"/>
        </w:rPr>
        <w:t xml:space="preserve"> research, this review intends to propose a more nuanced framework for the clinical interpretation of this complex locus in diagnostic practice.</w:t>
      </w:r>
    </w:p>
    <w:p w:rsidR="006B5777" w:rsidRDefault="006B5777" w:rsidP="00FD5B8C">
      <w:pPr>
        <w:spacing w:before="100" w:beforeAutospacing="1" w:after="100" w:afterAutospacing="1" w:line="240" w:lineRule="auto"/>
        <w:jc w:val="both"/>
        <w:rPr>
          <w:rFonts w:asciiTheme="majorBidi" w:eastAsia="Times New Roman" w:hAnsiTheme="majorBidi" w:cstheme="majorBidi"/>
          <w:sz w:val="24"/>
          <w:szCs w:val="24"/>
          <w:lang w:val="en"/>
        </w:rPr>
      </w:pPr>
    </w:p>
    <w:p w:rsidR="006B5777" w:rsidRDefault="006B5777" w:rsidP="00FD5B8C">
      <w:pPr>
        <w:spacing w:before="100" w:beforeAutospacing="1" w:after="100" w:afterAutospacing="1" w:line="240" w:lineRule="auto"/>
        <w:jc w:val="both"/>
        <w:rPr>
          <w:rFonts w:asciiTheme="majorBidi" w:eastAsia="Times New Roman" w:hAnsiTheme="majorBidi" w:cstheme="majorBidi"/>
          <w:sz w:val="24"/>
          <w:szCs w:val="24"/>
          <w:lang w:val="en"/>
        </w:rPr>
      </w:pPr>
    </w:p>
    <w:p w:rsidR="00336BD3" w:rsidRDefault="00336BD3" w:rsidP="00FD5B8C">
      <w:pPr>
        <w:spacing w:before="100" w:beforeAutospacing="1" w:after="100" w:afterAutospacing="1" w:line="240" w:lineRule="auto"/>
        <w:jc w:val="both"/>
        <w:rPr>
          <w:rFonts w:asciiTheme="majorBidi" w:eastAsia="Times New Roman" w:hAnsiTheme="majorBidi" w:cstheme="majorBidi"/>
          <w:sz w:val="24"/>
          <w:szCs w:val="24"/>
          <w:lang w:val="en"/>
        </w:rPr>
      </w:pPr>
    </w:p>
    <w:p w:rsidR="00336BD3" w:rsidRDefault="00336BD3" w:rsidP="00FD5B8C">
      <w:pPr>
        <w:spacing w:before="100" w:beforeAutospacing="1" w:after="100" w:afterAutospacing="1" w:line="240" w:lineRule="auto"/>
        <w:jc w:val="both"/>
        <w:rPr>
          <w:rFonts w:asciiTheme="majorBidi" w:eastAsia="Times New Roman" w:hAnsiTheme="majorBidi" w:cstheme="majorBidi"/>
          <w:sz w:val="24"/>
          <w:szCs w:val="24"/>
          <w:lang w:val="en"/>
        </w:rPr>
      </w:pPr>
    </w:p>
    <w:p w:rsidR="00336BD3" w:rsidRDefault="00336BD3" w:rsidP="00FD5B8C">
      <w:pPr>
        <w:spacing w:before="100" w:beforeAutospacing="1" w:after="100" w:afterAutospacing="1" w:line="240" w:lineRule="auto"/>
        <w:jc w:val="both"/>
        <w:rPr>
          <w:rFonts w:asciiTheme="majorBidi" w:eastAsia="Times New Roman" w:hAnsiTheme="majorBidi" w:cstheme="majorBidi"/>
          <w:sz w:val="24"/>
          <w:szCs w:val="24"/>
          <w:lang w:val="en"/>
        </w:rPr>
      </w:pPr>
    </w:p>
    <w:p w:rsidR="00336BD3" w:rsidRPr="00FD5B8C" w:rsidRDefault="00336BD3" w:rsidP="00FD5B8C">
      <w:pPr>
        <w:spacing w:before="100" w:beforeAutospacing="1" w:after="100" w:afterAutospacing="1" w:line="240" w:lineRule="auto"/>
        <w:jc w:val="both"/>
        <w:rPr>
          <w:rFonts w:asciiTheme="majorBidi" w:eastAsia="Times New Roman" w:hAnsiTheme="majorBidi" w:cstheme="majorBidi"/>
          <w:sz w:val="24"/>
          <w:szCs w:val="24"/>
          <w:lang w:val="en"/>
        </w:rPr>
      </w:pPr>
    </w:p>
    <w:p w:rsidR="007F692E" w:rsidRPr="00FD5B8C" w:rsidRDefault="006B5777" w:rsidP="00FD5B8C">
      <w:pPr>
        <w:pStyle w:val="Heading3"/>
        <w:jc w:val="both"/>
        <w:rPr>
          <w:rFonts w:asciiTheme="majorBidi" w:hAnsiTheme="majorBidi" w:cstheme="majorBidi"/>
          <w:sz w:val="24"/>
          <w:szCs w:val="24"/>
          <w:lang w:val="en"/>
        </w:rPr>
      </w:pPr>
      <w:r>
        <w:rPr>
          <w:rFonts w:asciiTheme="majorBidi" w:hAnsiTheme="majorBidi" w:cstheme="majorBidi"/>
          <w:sz w:val="24"/>
          <w:szCs w:val="24"/>
          <w:lang w:val="en"/>
        </w:rPr>
        <w:t>1:</w:t>
      </w:r>
      <w:r w:rsidR="007F692E" w:rsidRPr="00FD5B8C">
        <w:rPr>
          <w:rFonts w:asciiTheme="majorBidi" w:hAnsiTheme="majorBidi" w:cstheme="majorBidi"/>
          <w:sz w:val="24"/>
          <w:szCs w:val="24"/>
          <w:lang w:val="en"/>
        </w:rPr>
        <w:t xml:space="preserve"> The Neuro-Genetics Hypothesis: Revisiting the Repeat Expansion Paradigm</w:t>
      </w:r>
    </w:p>
    <w:p w:rsidR="007F692E" w:rsidRPr="00FD5B8C" w:rsidRDefault="007F692E" w:rsidP="00FD5B8C">
      <w:pPr>
        <w:pStyle w:val="NormalWeb"/>
        <w:jc w:val="both"/>
        <w:rPr>
          <w:rFonts w:asciiTheme="majorBidi" w:hAnsiTheme="majorBidi" w:cstheme="majorBidi"/>
          <w:lang w:val="en"/>
        </w:rPr>
      </w:pPr>
      <w:r w:rsidRPr="00FD5B8C">
        <w:rPr>
          <w:rFonts w:asciiTheme="majorBidi" w:hAnsiTheme="majorBidi" w:cstheme="majorBidi"/>
          <w:lang w:val="en"/>
        </w:rPr>
        <w:t xml:space="preserve">The initial surge of interest in the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locus was largely driven by its structural features, particularly the presence of extensive intronic regions and GC-rich sequences in the 5’ UTR. Following the established biological paradigms of repeat-associated disorders—most notably the </w:t>
      </w:r>
      <w:r w:rsidRPr="00FD5B8C">
        <w:rPr>
          <w:rStyle w:val="Emphasis"/>
          <w:rFonts w:asciiTheme="majorBidi" w:hAnsiTheme="majorBidi" w:cstheme="majorBidi"/>
          <w:lang w:val="en"/>
        </w:rPr>
        <w:t>FMR1</w:t>
      </w:r>
      <w:r w:rsidRPr="00FD5B8C">
        <w:rPr>
          <w:rFonts w:asciiTheme="majorBidi" w:hAnsiTheme="majorBidi" w:cstheme="majorBidi"/>
          <w:lang w:val="en"/>
        </w:rPr>
        <w:t xml:space="preserve"> gene in Fragile X Syndrome—investigators hypothesized that expanded CCG repeats within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might act as a molecular switch, leading to transcriptional silencing or functional protein depletion in the central nervous system. This theoretical framework prompted the inclusion of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in numerous targeted panels for intellectual disability (ID) and epilepsy.</w:t>
      </w:r>
    </w:p>
    <w:p w:rsidR="007F692E" w:rsidRDefault="007F692E" w:rsidP="00435D4A">
      <w:pPr>
        <w:pStyle w:val="NormalWeb"/>
        <w:jc w:val="both"/>
        <w:rPr>
          <w:rFonts w:asciiTheme="majorBidi" w:hAnsiTheme="majorBidi" w:cstheme="majorBidi"/>
          <w:lang w:val="en"/>
        </w:rPr>
      </w:pPr>
      <w:r w:rsidRPr="00FD5B8C">
        <w:rPr>
          <w:rFonts w:asciiTheme="majorBidi" w:hAnsiTheme="majorBidi" w:cstheme="majorBidi"/>
          <w:lang w:val="en"/>
        </w:rPr>
        <w:t>However, a critical re-evaluation of this paradigm reveals a significant disconnect between the hypothetical molecular mechanism and clinical reality. Early studies, which often relied on smaller cohorts or preliminary sequencing technologies, frequently reported “suggestive” associations. Yet, when subjected to rigorous statistical analysis in larger, multi-ethnic, and phenotypically distinct cohorts, these associations have largely failed to reach the threshold of clinical significance. Recent systematic reviews and large-scale meta-analyses, such as the data presented by [Reference Placeholder: Movement Disorders, 2026], indicate that the presence of these repeats is frequently observed in control populations with equal frequency to affected cohorts.</w:t>
      </w:r>
      <w:r w:rsidR="00435D4A">
        <w:rPr>
          <w:rFonts w:asciiTheme="majorBidi" w:hAnsiTheme="majorBidi" w:cstheme="majorBidi"/>
          <w:lang w:val="en"/>
        </w:rPr>
        <w:t xml:space="preserve"> </w:t>
      </w:r>
      <w:r w:rsidRPr="00FD5B8C">
        <w:rPr>
          <w:rFonts w:asciiTheme="majorBidi" w:hAnsiTheme="majorBidi" w:cstheme="majorBidi"/>
          <w:lang w:val="en"/>
        </w:rPr>
        <w:t xml:space="preserve">From a methodological standpoint, the controversy surrounding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highlights the limitations of inferring pathogenicity from structural motifs alone. The assumption that any repeat expansion in a neurologically expressed gene equates to neuro-pathogenicity is an oversimplification that ignores the complexity of compensatory mechanisms within the genome. Furthermore, the variability in diagnostic reporting—where different laboratories use disparate thresholds for “pathogenic” repeat lengths—has further clouded the literature, contributing to a “diagnostic noise” that complicates the assessment of variants of uncertain significance (VUS).</w:t>
      </w:r>
      <w:r w:rsidR="00435D4A">
        <w:rPr>
          <w:rFonts w:asciiTheme="majorBidi" w:hAnsiTheme="majorBidi" w:cstheme="majorBidi"/>
          <w:lang w:val="en"/>
        </w:rPr>
        <w:t xml:space="preserve"> </w:t>
      </w:r>
      <w:r w:rsidRPr="00FD5B8C">
        <w:rPr>
          <w:rFonts w:asciiTheme="majorBidi" w:hAnsiTheme="majorBidi" w:cstheme="majorBidi"/>
          <w:lang w:val="en"/>
        </w:rPr>
        <w:t xml:space="preserve">Consequently, the current scientific consensus is shifting away from the model of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as a primary driver of neurological repeat-expansion diseases. The lack of segregation analysis in familial cases and the absence of a distinct, consistent clinical phenotype across reported cases suggest that the original neuro-genetic hypothesis may have been a product of selection bias in early genomic screenings.</w:t>
      </w:r>
    </w:p>
    <w:p w:rsidR="00435D4A" w:rsidRPr="00767C83" w:rsidRDefault="00435D4A" w:rsidP="00767C83">
      <w:pPr>
        <w:pStyle w:val="NormalWeb"/>
        <w:jc w:val="both"/>
        <w:rPr>
          <w:rFonts w:asciiTheme="majorBidi" w:hAnsiTheme="majorBidi" w:cstheme="majorBidi"/>
          <w:b/>
          <w:bCs/>
          <w:lang w:val="en"/>
        </w:rPr>
      </w:pPr>
      <w:r w:rsidRPr="00767C83">
        <w:rPr>
          <w:b/>
          <w:bCs/>
        </w:rPr>
        <w:t>Pathogenic Variant</w:t>
      </w:r>
    </w:p>
    <w:p w:rsidR="00435D4A" w:rsidRDefault="00435D4A" w:rsidP="00767C83">
      <w:pPr>
        <w:pStyle w:val="NormalWeb"/>
        <w:jc w:val="both"/>
      </w:pPr>
      <w:r>
        <w:t xml:space="preserve">“Whole exome sequencing (WES) revealed a novel homozygous missense variant in the </w:t>
      </w:r>
      <w:r>
        <w:rPr>
          <w:rStyle w:val="Emphasis"/>
        </w:rPr>
        <w:t>[Gene Name]</w:t>
      </w:r>
      <w:r>
        <w:t xml:space="preserve"> gene (NM_000000.x:c.123A&gt;G; p.Arg123His). This variant was classified as </w:t>
      </w:r>
      <w:r>
        <w:rPr>
          <w:rStyle w:val="Strong"/>
        </w:rPr>
        <w:t>pathogenic</w:t>
      </w:r>
      <w:r>
        <w:t xml:space="preserve"> according to the ACMG/AMP guidelines, as it affects a highly conserved amino acid residue and is absent in the gnomAD database (minor allele frequency &lt; 0.01%). Segregation analysis confirmed that both unaffected parents were heterozygous carriers.”</w:t>
      </w:r>
    </w:p>
    <w:p w:rsidR="00435D4A" w:rsidRPr="00767C83" w:rsidRDefault="00435D4A" w:rsidP="00767C83">
      <w:pPr>
        <w:pStyle w:val="NormalWeb"/>
        <w:jc w:val="both"/>
        <w:rPr>
          <w:b/>
          <w:bCs/>
        </w:rPr>
      </w:pPr>
      <w:r w:rsidRPr="00767C83">
        <w:rPr>
          <w:b/>
          <w:bCs/>
        </w:rPr>
        <w:t>(VUS - Variant of Uncertain Significance</w:t>
      </w:r>
      <w:r w:rsidRPr="00767C83">
        <w:rPr>
          <w:b/>
          <w:bCs/>
        </w:rPr>
        <w:t>)</w:t>
      </w:r>
    </w:p>
    <w:p w:rsidR="00435D4A" w:rsidRDefault="00435D4A" w:rsidP="00767C83">
      <w:pPr>
        <w:pStyle w:val="NormalWeb"/>
        <w:jc w:val="both"/>
      </w:pPr>
      <w:r>
        <w:t xml:space="preserve">“A homozygous variant of uncertain significance (VUS) was identified in the </w:t>
      </w:r>
      <w:r>
        <w:rPr>
          <w:rStyle w:val="Emphasis"/>
        </w:rPr>
        <w:t>[Gene Name]</w:t>
      </w:r>
      <w:r>
        <w:t xml:space="preserve"> gene (c.456C&gt;T; p.Pro152Leu). In silico prediction tools, including PolyPhen-2 and SIFT, provided conflicting results regarding the functional impact of this substitution. Given the absence of functional studies and its low frequency in population databases, this variant is currently categorized as a VUS, necessitating further functional validation or segregation analysis in additional family members.”</w:t>
      </w:r>
    </w:p>
    <w:p w:rsidR="00435D4A" w:rsidRDefault="00435D4A" w:rsidP="00767C83">
      <w:pPr>
        <w:pStyle w:val="NormalWeb"/>
        <w:jc w:val="both"/>
      </w:pPr>
      <w:r>
        <w:t>(</w:t>
      </w:r>
      <w:r>
        <w:t>Indel/Deletion Variant)</w:t>
      </w:r>
    </w:p>
    <w:p w:rsidR="00435D4A" w:rsidRDefault="00435D4A" w:rsidP="00767C83">
      <w:pPr>
        <w:pStyle w:val="NormalWeb"/>
        <w:jc w:val="both"/>
      </w:pPr>
      <w:r>
        <w:t xml:space="preserve">“Analysis of the WES data identified a homozygous 2-base pair deletion in exon 5 of the </w:t>
      </w:r>
      <w:r>
        <w:rPr>
          <w:rStyle w:val="Emphasis"/>
        </w:rPr>
        <w:t>[Gene Name]</w:t>
      </w:r>
      <w:r>
        <w:t xml:space="preserve"> gene (c.789delAG; p.Glu263Glyfs*12). This deletion results in a frameshift that introduces a premature stop codon, likely leading to nonsense-mediated mRNA decay (NMD) or a truncated protein product. This variant was assessed as </w:t>
      </w:r>
      <w:r>
        <w:rPr>
          <w:rStyle w:val="Strong"/>
        </w:rPr>
        <w:t>likely pathogenic</w:t>
      </w:r>
      <w:r>
        <w:t xml:space="preserve"> under ACMG criteria (PVS1, PM2).”</w:t>
      </w:r>
    </w:p>
    <w:p w:rsidR="002830C1" w:rsidRPr="00767C83" w:rsidRDefault="002830C1" w:rsidP="00767C83">
      <w:pPr>
        <w:spacing w:after="0" w:line="240" w:lineRule="auto"/>
        <w:jc w:val="both"/>
        <w:rPr>
          <w:rFonts w:ascii="Times New Roman" w:eastAsia="Times New Roman" w:hAnsi="Times New Roman" w:cs="Times New Roman"/>
          <w:b/>
          <w:bCs/>
          <w:sz w:val="24"/>
          <w:szCs w:val="24"/>
        </w:rPr>
      </w:pPr>
      <w:r w:rsidRPr="00767C83">
        <w:rPr>
          <w:b/>
          <w:bCs/>
          <w:sz w:val="24"/>
          <w:szCs w:val="24"/>
        </w:rPr>
        <w:t>Cytogenetic Band</w:t>
      </w:r>
    </w:p>
    <w:p w:rsidR="002830C1" w:rsidRPr="002830C1" w:rsidRDefault="002830C1" w:rsidP="00767C83">
      <w:pPr>
        <w:spacing w:after="0" w:line="240" w:lineRule="auto"/>
        <w:jc w:val="both"/>
        <w:rPr>
          <w:rFonts w:ascii="Times New Roman" w:eastAsia="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534"/>
        <w:gridCol w:w="1667"/>
        <w:gridCol w:w="3074"/>
        <w:gridCol w:w="1355"/>
      </w:tblGrid>
      <w:tr w:rsidR="002830C1" w:rsidRPr="002830C1" w:rsidTr="002830C1">
        <w:trPr>
          <w:tblHeader/>
          <w:tblCellSpacing w:w="15" w:type="dxa"/>
        </w:trPr>
        <w:tc>
          <w:tcPr>
            <w:tcW w:w="0" w:type="auto"/>
            <w:vAlign w:val="center"/>
            <w:hideMark/>
          </w:tcPr>
          <w:p w:rsidR="002830C1" w:rsidRPr="002830C1" w:rsidRDefault="002830C1" w:rsidP="00767C83">
            <w:pPr>
              <w:spacing w:after="0" w:line="240" w:lineRule="auto"/>
              <w:jc w:val="both"/>
              <w:rPr>
                <w:rFonts w:ascii="Times New Roman" w:eastAsia="Times New Roman" w:hAnsi="Times New Roman" w:cs="Times New Roman"/>
                <w:b/>
                <w:bCs/>
                <w:sz w:val="24"/>
                <w:szCs w:val="24"/>
                <w:lang w:val="en"/>
              </w:rPr>
            </w:pPr>
            <w:r w:rsidRPr="002830C1">
              <w:rPr>
                <w:rFonts w:ascii="Times New Roman" w:eastAsia="Times New Roman" w:hAnsi="Times New Roman" w:cs="Times New Roman"/>
                <w:b/>
                <w:bCs/>
                <w:sz w:val="24"/>
                <w:szCs w:val="24"/>
                <w:lang w:val="en"/>
              </w:rPr>
              <w:t>Gene</w:t>
            </w:r>
          </w:p>
        </w:tc>
        <w:tc>
          <w:tcPr>
            <w:tcW w:w="0" w:type="auto"/>
            <w:vAlign w:val="center"/>
            <w:hideMark/>
          </w:tcPr>
          <w:p w:rsidR="002830C1" w:rsidRPr="002830C1" w:rsidRDefault="002830C1" w:rsidP="00767C83">
            <w:pPr>
              <w:spacing w:after="0" w:line="240" w:lineRule="auto"/>
              <w:jc w:val="both"/>
              <w:rPr>
                <w:rFonts w:ascii="Times New Roman" w:eastAsia="Times New Roman" w:hAnsi="Times New Roman" w:cs="Times New Roman"/>
                <w:b/>
                <w:bCs/>
                <w:sz w:val="24"/>
                <w:szCs w:val="24"/>
                <w:lang w:val="en"/>
              </w:rPr>
            </w:pPr>
            <w:r w:rsidRPr="002830C1">
              <w:rPr>
                <w:rFonts w:ascii="Times New Roman" w:eastAsia="Times New Roman" w:hAnsi="Times New Roman" w:cs="Times New Roman"/>
                <w:b/>
                <w:bCs/>
                <w:sz w:val="24"/>
                <w:szCs w:val="24"/>
                <w:lang w:val="en"/>
              </w:rPr>
              <w:t>cDNA Change</w:t>
            </w:r>
          </w:p>
        </w:tc>
        <w:tc>
          <w:tcPr>
            <w:tcW w:w="0" w:type="auto"/>
            <w:vAlign w:val="center"/>
            <w:hideMark/>
          </w:tcPr>
          <w:p w:rsidR="002830C1" w:rsidRPr="002830C1" w:rsidRDefault="002830C1" w:rsidP="00767C83">
            <w:pPr>
              <w:spacing w:after="0" w:line="240" w:lineRule="auto"/>
              <w:jc w:val="both"/>
              <w:rPr>
                <w:rFonts w:ascii="Times New Roman" w:eastAsia="Times New Roman" w:hAnsi="Times New Roman" w:cs="Times New Roman"/>
                <w:b/>
                <w:bCs/>
                <w:sz w:val="24"/>
                <w:szCs w:val="24"/>
                <w:lang w:val="en"/>
              </w:rPr>
            </w:pPr>
            <w:r w:rsidRPr="002830C1">
              <w:rPr>
                <w:rFonts w:ascii="Times New Roman" w:eastAsia="Times New Roman" w:hAnsi="Times New Roman" w:cs="Times New Roman"/>
                <w:b/>
                <w:bCs/>
                <w:sz w:val="24"/>
                <w:szCs w:val="24"/>
                <w:lang w:val="en"/>
              </w:rPr>
              <w:t>Protein Change</w:t>
            </w:r>
          </w:p>
        </w:tc>
        <w:tc>
          <w:tcPr>
            <w:tcW w:w="0" w:type="auto"/>
            <w:vAlign w:val="center"/>
            <w:hideMark/>
          </w:tcPr>
          <w:p w:rsidR="002830C1" w:rsidRPr="002830C1" w:rsidRDefault="002830C1" w:rsidP="00767C83">
            <w:pPr>
              <w:spacing w:after="0" w:line="240" w:lineRule="auto"/>
              <w:jc w:val="both"/>
              <w:rPr>
                <w:rFonts w:ascii="Times New Roman" w:eastAsia="Times New Roman" w:hAnsi="Times New Roman" w:cs="Times New Roman"/>
                <w:b/>
                <w:bCs/>
                <w:sz w:val="24"/>
                <w:szCs w:val="24"/>
                <w:lang w:val="en"/>
              </w:rPr>
            </w:pPr>
            <w:r w:rsidRPr="002830C1">
              <w:rPr>
                <w:rFonts w:ascii="Times New Roman" w:eastAsia="Times New Roman" w:hAnsi="Times New Roman" w:cs="Times New Roman"/>
                <w:b/>
                <w:bCs/>
                <w:sz w:val="24"/>
                <w:szCs w:val="24"/>
                <w:lang w:val="en"/>
              </w:rPr>
              <w:t>Genomic Location (GRCh38)</w:t>
            </w:r>
          </w:p>
        </w:tc>
        <w:tc>
          <w:tcPr>
            <w:tcW w:w="0" w:type="auto"/>
            <w:vAlign w:val="center"/>
            <w:hideMark/>
          </w:tcPr>
          <w:p w:rsidR="002830C1" w:rsidRPr="002830C1" w:rsidRDefault="002830C1" w:rsidP="00767C83">
            <w:pPr>
              <w:spacing w:after="0" w:line="240" w:lineRule="auto"/>
              <w:jc w:val="both"/>
              <w:rPr>
                <w:rFonts w:ascii="Times New Roman" w:eastAsia="Times New Roman" w:hAnsi="Times New Roman" w:cs="Times New Roman"/>
                <w:b/>
                <w:bCs/>
                <w:sz w:val="24"/>
                <w:szCs w:val="24"/>
                <w:lang w:val="en"/>
              </w:rPr>
            </w:pPr>
            <w:r w:rsidRPr="002830C1">
              <w:rPr>
                <w:rFonts w:ascii="Times New Roman" w:eastAsia="Times New Roman" w:hAnsi="Times New Roman" w:cs="Times New Roman"/>
                <w:b/>
                <w:bCs/>
                <w:sz w:val="24"/>
                <w:szCs w:val="24"/>
                <w:lang w:val="en"/>
              </w:rPr>
              <w:t>Zygosity</w:t>
            </w:r>
          </w:p>
        </w:tc>
      </w:tr>
      <w:tr w:rsidR="002830C1" w:rsidRPr="002830C1" w:rsidTr="002830C1">
        <w:trPr>
          <w:tblCellSpacing w:w="15" w:type="dxa"/>
        </w:trPr>
        <w:tc>
          <w:tcPr>
            <w:tcW w:w="0" w:type="auto"/>
            <w:vAlign w:val="center"/>
            <w:hideMark/>
          </w:tcPr>
          <w:p w:rsidR="002830C1" w:rsidRPr="002830C1" w:rsidRDefault="002830C1" w:rsidP="00767C83">
            <w:pPr>
              <w:spacing w:after="0" w:line="240" w:lineRule="auto"/>
              <w:jc w:val="both"/>
              <w:rPr>
                <w:rFonts w:ascii="Times New Roman" w:eastAsia="Times New Roman" w:hAnsi="Times New Roman" w:cs="Times New Roman"/>
                <w:sz w:val="24"/>
                <w:szCs w:val="24"/>
                <w:lang w:val="en"/>
              </w:rPr>
            </w:pPr>
            <w:r w:rsidRPr="002830C1">
              <w:rPr>
                <w:rFonts w:ascii="Times New Roman" w:eastAsia="Times New Roman" w:hAnsi="Times New Roman" w:cs="Times New Roman"/>
                <w:i/>
                <w:iCs/>
                <w:sz w:val="24"/>
                <w:szCs w:val="24"/>
                <w:lang w:val="en"/>
              </w:rPr>
              <w:t>GJB2</w:t>
            </w:r>
          </w:p>
        </w:tc>
        <w:tc>
          <w:tcPr>
            <w:tcW w:w="0" w:type="auto"/>
            <w:vAlign w:val="center"/>
            <w:hideMark/>
          </w:tcPr>
          <w:p w:rsidR="002830C1" w:rsidRPr="002830C1" w:rsidRDefault="002830C1" w:rsidP="00767C83">
            <w:pPr>
              <w:spacing w:after="0" w:line="240" w:lineRule="auto"/>
              <w:jc w:val="both"/>
              <w:rPr>
                <w:rFonts w:ascii="Times New Roman" w:eastAsia="Times New Roman" w:hAnsi="Times New Roman" w:cs="Times New Roman"/>
                <w:sz w:val="24"/>
                <w:szCs w:val="24"/>
                <w:lang w:val="en"/>
              </w:rPr>
            </w:pPr>
            <w:r w:rsidRPr="002830C1">
              <w:rPr>
                <w:rFonts w:ascii="Times New Roman" w:eastAsia="Times New Roman" w:hAnsi="Times New Roman" w:cs="Times New Roman"/>
                <w:sz w:val="24"/>
                <w:szCs w:val="24"/>
                <w:lang w:val="en"/>
              </w:rPr>
              <w:t>c.235delC</w:t>
            </w:r>
          </w:p>
        </w:tc>
        <w:tc>
          <w:tcPr>
            <w:tcW w:w="0" w:type="auto"/>
            <w:vAlign w:val="center"/>
            <w:hideMark/>
          </w:tcPr>
          <w:p w:rsidR="002830C1" w:rsidRPr="002830C1" w:rsidRDefault="002830C1" w:rsidP="00767C83">
            <w:pPr>
              <w:spacing w:after="0" w:line="240" w:lineRule="auto"/>
              <w:jc w:val="both"/>
              <w:rPr>
                <w:rFonts w:ascii="Times New Roman" w:eastAsia="Times New Roman" w:hAnsi="Times New Roman" w:cs="Times New Roman"/>
                <w:sz w:val="24"/>
                <w:szCs w:val="24"/>
                <w:lang w:val="en"/>
              </w:rPr>
            </w:pPr>
            <w:r w:rsidRPr="002830C1">
              <w:rPr>
                <w:rFonts w:ascii="Times New Roman" w:eastAsia="Times New Roman" w:hAnsi="Times New Roman" w:cs="Times New Roman"/>
                <w:sz w:val="24"/>
                <w:szCs w:val="24"/>
                <w:lang w:val="en"/>
              </w:rPr>
              <w:t>p.Leu79Cysfs*3</w:t>
            </w:r>
          </w:p>
        </w:tc>
        <w:tc>
          <w:tcPr>
            <w:tcW w:w="0" w:type="auto"/>
            <w:vAlign w:val="center"/>
            <w:hideMark/>
          </w:tcPr>
          <w:p w:rsidR="002830C1" w:rsidRPr="002830C1" w:rsidRDefault="002830C1" w:rsidP="00767C83">
            <w:pPr>
              <w:spacing w:after="0" w:line="240" w:lineRule="auto"/>
              <w:jc w:val="both"/>
              <w:rPr>
                <w:rFonts w:ascii="Times New Roman" w:eastAsia="Times New Roman" w:hAnsi="Times New Roman" w:cs="Times New Roman"/>
                <w:sz w:val="24"/>
                <w:szCs w:val="24"/>
                <w:lang w:val="en"/>
              </w:rPr>
            </w:pPr>
            <w:r w:rsidRPr="002830C1">
              <w:rPr>
                <w:rFonts w:ascii="Times New Roman" w:eastAsia="Times New Roman" w:hAnsi="Times New Roman" w:cs="Times New Roman"/>
                <w:b/>
                <w:bCs/>
                <w:sz w:val="24"/>
                <w:szCs w:val="24"/>
                <w:lang w:val="en"/>
              </w:rPr>
              <w:t>chr13:g.20763261del</w:t>
            </w:r>
          </w:p>
        </w:tc>
        <w:tc>
          <w:tcPr>
            <w:tcW w:w="0" w:type="auto"/>
            <w:vAlign w:val="center"/>
            <w:hideMark/>
          </w:tcPr>
          <w:p w:rsidR="002830C1" w:rsidRPr="002830C1" w:rsidRDefault="002830C1" w:rsidP="00767C83">
            <w:pPr>
              <w:spacing w:after="0" w:line="240" w:lineRule="auto"/>
              <w:jc w:val="both"/>
              <w:rPr>
                <w:rFonts w:ascii="Times New Roman" w:eastAsia="Times New Roman" w:hAnsi="Times New Roman" w:cs="Times New Roman"/>
                <w:sz w:val="24"/>
                <w:szCs w:val="24"/>
                <w:lang w:val="en"/>
              </w:rPr>
            </w:pPr>
            <w:r w:rsidRPr="002830C1">
              <w:rPr>
                <w:rFonts w:ascii="Times New Roman" w:eastAsia="Times New Roman" w:hAnsi="Times New Roman" w:cs="Times New Roman"/>
                <w:sz w:val="24"/>
                <w:szCs w:val="24"/>
                <w:lang w:val="en"/>
              </w:rPr>
              <w:t>Homozygous</w:t>
            </w:r>
          </w:p>
        </w:tc>
      </w:tr>
    </w:tbl>
    <w:p w:rsidR="002830C1" w:rsidRDefault="002830C1" w:rsidP="00767C83">
      <w:pPr>
        <w:pStyle w:val="NormalWeb"/>
        <w:jc w:val="both"/>
      </w:pPr>
      <w:r>
        <w:t xml:space="preserve">“The identified variant [c.123A&gt;G] maps to chromosome </w:t>
      </w:r>
      <w:r>
        <w:rPr>
          <w:rStyle w:val="Strong"/>
        </w:rPr>
        <w:t>7q31.2</w:t>
      </w:r>
      <w:r>
        <w:t xml:space="preserve"> (Genomic coordinates: </w:t>
      </w:r>
      <w:r>
        <w:rPr>
          <w:rStyle w:val="Strong"/>
        </w:rPr>
        <w:t>chr7:g.117175283T&gt;C</w:t>
      </w:r>
      <w:r>
        <w:t>, GRCh38).”</w:t>
      </w:r>
    </w:p>
    <w:p w:rsidR="002830C1" w:rsidRDefault="002830C1" w:rsidP="00767C83">
      <w:pPr>
        <w:pStyle w:val="NormalWeb"/>
        <w:jc w:val="both"/>
      </w:pPr>
      <w:r>
        <w:rPr>
          <w:lang w:bidi="fa-IR"/>
        </w:rPr>
        <w:t>1</w:t>
      </w:r>
      <w:r>
        <w:t>. Missense Variant</w:t>
      </w:r>
    </w:p>
    <w:p w:rsidR="002830C1" w:rsidRDefault="002830C1" w:rsidP="00767C83">
      <w:pPr>
        <w:pStyle w:val="NormalWeb"/>
        <w:jc w:val="both"/>
      </w:pPr>
      <w:r>
        <w:t xml:space="preserve">“A </w:t>
      </w:r>
      <w:r>
        <w:rPr>
          <w:rStyle w:val="Strong"/>
        </w:rPr>
        <w:t>missense variant</w:t>
      </w:r>
      <w:r>
        <w:t xml:space="preserve"> was identified in the </w:t>
      </w:r>
      <w:r>
        <w:rPr>
          <w:rStyle w:val="Emphasis"/>
        </w:rPr>
        <w:t>[Gene Name]</w:t>
      </w:r>
      <w:r>
        <w:t xml:space="preserve"> gene, resulting in the substitution of Arginine with Histidine at position 123 (p.Arg123His).”</w:t>
      </w:r>
    </w:p>
    <w:p w:rsidR="002830C1" w:rsidRDefault="002830C1" w:rsidP="00767C83">
      <w:pPr>
        <w:pStyle w:val="Heading3"/>
        <w:jc w:val="both"/>
        <w:rPr>
          <w:rFonts w:asciiTheme="majorBidi" w:hAnsiTheme="majorBidi" w:cstheme="majorBidi"/>
          <w:lang w:bidi="fa-IR"/>
        </w:rPr>
      </w:pPr>
      <w:r>
        <w:t>2-</w:t>
      </w:r>
      <w:r w:rsidRPr="002830C1">
        <w:rPr>
          <w:rFonts w:hint="cs"/>
          <w:lang w:bidi="fa-IR"/>
        </w:rPr>
        <w:t xml:space="preserve"> </w:t>
      </w:r>
      <w:r>
        <w:rPr>
          <w:rFonts w:hint="cs"/>
          <w:lang w:bidi="fa-IR"/>
        </w:rPr>
        <w:t xml:space="preserve">Nonsense </w:t>
      </w:r>
      <w:r w:rsidRPr="002830C1">
        <w:rPr>
          <w:rFonts w:asciiTheme="majorBidi" w:hAnsiTheme="majorBidi" w:cstheme="majorBidi"/>
          <w:lang w:bidi="fa-IR"/>
        </w:rPr>
        <w:t>Variant</w:t>
      </w:r>
    </w:p>
    <w:p w:rsidR="002830C1" w:rsidRDefault="002830C1" w:rsidP="00767C83">
      <w:pPr>
        <w:pStyle w:val="Heading3"/>
        <w:bidi/>
        <w:jc w:val="both"/>
      </w:pPr>
      <w:r>
        <w:t>“</w:t>
      </w:r>
      <w:r w:rsidRPr="00767C83">
        <w:rPr>
          <w:b w:val="0"/>
          <w:bCs w:val="0"/>
        </w:rPr>
        <w:t xml:space="preserve">This </w:t>
      </w:r>
      <w:r w:rsidRPr="00767C83">
        <w:rPr>
          <w:rStyle w:val="Strong"/>
        </w:rPr>
        <w:t>nonsense variant</w:t>
      </w:r>
      <w:r w:rsidRPr="00767C83">
        <w:rPr>
          <w:b w:val="0"/>
          <w:bCs w:val="0"/>
        </w:rPr>
        <w:t xml:space="preserve"> introduces a premature stop codon, leading to the truncation of the protein and likely nonsense-mediated mRNA decay.”</w:t>
      </w:r>
    </w:p>
    <w:p w:rsidR="002830C1" w:rsidRDefault="002830C1" w:rsidP="00767C83">
      <w:pPr>
        <w:pStyle w:val="Heading3"/>
        <w:jc w:val="both"/>
        <w:rPr>
          <w:lang w:bidi="fa-IR"/>
        </w:rPr>
      </w:pPr>
      <w:r>
        <w:t>3-</w:t>
      </w:r>
      <w:r>
        <w:rPr>
          <w:rFonts w:hint="cs"/>
          <w:rtl/>
          <w:lang w:bidi="fa-IR"/>
        </w:rPr>
        <w:t xml:space="preserve"> </w:t>
      </w:r>
      <w:r>
        <w:rPr>
          <w:rFonts w:hint="cs"/>
          <w:lang w:bidi="fa-IR"/>
        </w:rPr>
        <w:t>Frameshift Variant</w:t>
      </w:r>
      <w:r>
        <w:rPr>
          <w:rFonts w:hint="cs"/>
          <w:rtl/>
          <w:lang w:bidi="fa-IR"/>
        </w:rPr>
        <w:t xml:space="preserve"> </w:t>
      </w:r>
    </w:p>
    <w:p w:rsidR="002830C1" w:rsidRPr="00767C83" w:rsidRDefault="002830C1" w:rsidP="00767C83">
      <w:pPr>
        <w:pStyle w:val="Heading3"/>
        <w:jc w:val="both"/>
        <w:rPr>
          <w:b w:val="0"/>
          <w:bCs w:val="0"/>
        </w:rPr>
      </w:pPr>
      <w:r w:rsidRPr="00767C83">
        <w:rPr>
          <w:b w:val="0"/>
          <w:bCs w:val="0"/>
        </w:rPr>
        <w:t xml:space="preserve">“The deletion of two nucleotides caused a </w:t>
      </w:r>
      <w:r w:rsidRPr="00767C83">
        <w:rPr>
          <w:rStyle w:val="Strong"/>
          <w:b/>
          <w:bCs/>
        </w:rPr>
        <w:t>frameshift variant</w:t>
      </w:r>
      <w:r w:rsidRPr="00767C83">
        <w:rPr>
          <w:b w:val="0"/>
          <w:bCs w:val="0"/>
        </w:rPr>
        <w:t>, resulting in an altered reading frame and a premature stop codon downstream.”</w:t>
      </w:r>
    </w:p>
    <w:p w:rsidR="002830C1" w:rsidRDefault="002830C1" w:rsidP="00767C83">
      <w:pPr>
        <w:pStyle w:val="Heading3"/>
        <w:jc w:val="both"/>
        <w:rPr>
          <w:lang w:bidi="fa-IR"/>
        </w:rPr>
      </w:pPr>
      <w:r>
        <w:t>4-</w:t>
      </w:r>
      <w:r w:rsidRPr="002830C1">
        <w:rPr>
          <w:rFonts w:hint="cs"/>
          <w:rtl/>
          <w:lang w:bidi="fa-IR"/>
        </w:rPr>
        <w:t xml:space="preserve"> </w:t>
      </w:r>
      <w:r>
        <w:rPr>
          <w:rFonts w:hint="cs"/>
          <w:rtl/>
          <w:lang w:bidi="fa-IR"/>
        </w:rPr>
        <w:t xml:space="preserve"> </w:t>
      </w:r>
      <w:r>
        <w:rPr>
          <w:rFonts w:hint="cs"/>
          <w:lang w:bidi="fa-IR"/>
        </w:rPr>
        <w:t>Splice Site Variant</w:t>
      </w:r>
      <w:r>
        <w:rPr>
          <w:rFonts w:hint="cs"/>
          <w:rtl/>
          <w:lang w:bidi="fa-IR"/>
        </w:rPr>
        <w:t xml:space="preserve"> </w:t>
      </w:r>
    </w:p>
    <w:p w:rsidR="002830C1" w:rsidRPr="00767C83" w:rsidRDefault="002830C1" w:rsidP="00767C83">
      <w:pPr>
        <w:pStyle w:val="Heading3"/>
        <w:jc w:val="both"/>
        <w:rPr>
          <w:b w:val="0"/>
          <w:bCs w:val="0"/>
          <w:lang w:bidi="fa-IR"/>
        </w:rPr>
      </w:pPr>
      <w:r w:rsidRPr="00767C83">
        <w:rPr>
          <w:b w:val="0"/>
          <w:bCs w:val="0"/>
        </w:rPr>
        <w:t xml:space="preserve">“The variant is located at the canonical </w:t>
      </w:r>
      <w:r w:rsidRPr="00767C83">
        <w:rPr>
          <w:rStyle w:val="Strong"/>
          <w:b/>
          <w:bCs/>
        </w:rPr>
        <w:t>splice site</w:t>
      </w:r>
      <w:r w:rsidRPr="00767C83">
        <w:rPr>
          <w:b w:val="0"/>
          <w:bCs w:val="0"/>
        </w:rPr>
        <w:t xml:space="preserve"> of exon 5, which may lead to aberrant mRNA splicing and exon skipping.”</w:t>
      </w:r>
    </w:p>
    <w:p w:rsidR="002830C1" w:rsidRDefault="00767C83" w:rsidP="00767C83">
      <w:pPr>
        <w:pStyle w:val="Heading3"/>
        <w:jc w:val="both"/>
        <w:rPr>
          <w:lang w:bidi="fa-IR"/>
        </w:rPr>
      </w:pPr>
      <w:r>
        <w:rPr>
          <w:lang w:bidi="fa-IR"/>
        </w:rPr>
        <w:t>5-</w:t>
      </w:r>
      <w:r w:rsidR="002830C1">
        <w:rPr>
          <w:rFonts w:hint="cs"/>
          <w:rtl/>
          <w:lang w:bidi="fa-IR"/>
        </w:rPr>
        <w:t xml:space="preserve"> </w:t>
      </w:r>
      <w:r w:rsidR="002830C1">
        <w:rPr>
          <w:rFonts w:hint="cs"/>
          <w:lang w:bidi="fa-IR"/>
        </w:rPr>
        <w:t>Splice Site Variant</w:t>
      </w:r>
    </w:p>
    <w:p w:rsidR="002830C1" w:rsidRPr="00767C83" w:rsidRDefault="00767C83" w:rsidP="00767C83">
      <w:pPr>
        <w:pStyle w:val="Heading3"/>
        <w:jc w:val="both"/>
        <w:rPr>
          <w:b w:val="0"/>
          <w:bCs w:val="0"/>
          <w:lang w:bidi="fa-IR"/>
        </w:rPr>
      </w:pPr>
      <w:r w:rsidRPr="00767C83">
        <w:rPr>
          <w:b w:val="0"/>
          <w:bCs w:val="0"/>
        </w:rPr>
        <w:t xml:space="preserve">“The variant is located at the canonical </w:t>
      </w:r>
      <w:r w:rsidRPr="00767C83">
        <w:rPr>
          <w:rStyle w:val="Strong"/>
          <w:b/>
          <w:bCs/>
        </w:rPr>
        <w:t>splice site</w:t>
      </w:r>
      <w:r w:rsidRPr="00767C83">
        <w:rPr>
          <w:b w:val="0"/>
          <w:bCs w:val="0"/>
        </w:rPr>
        <w:t xml:space="preserve"> of exon 5, which may lead to aberrant m</w:t>
      </w:r>
      <w:r>
        <w:rPr>
          <w:b w:val="0"/>
          <w:bCs w:val="0"/>
        </w:rPr>
        <w:t>RNA splicing and exon skipping.</w:t>
      </w:r>
    </w:p>
    <w:p w:rsidR="002830C1" w:rsidRDefault="002830C1" w:rsidP="002830C1">
      <w:pPr>
        <w:spacing w:after="0" w:line="240" w:lineRule="auto"/>
        <w:rPr>
          <w:rFonts w:ascii="Times New Roman" w:eastAsia="Times New Roman" w:hAnsi="Times New Roman" w:cs="Times New Roman"/>
          <w:i/>
          <w:iCs/>
          <w:sz w:val="24"/>
          <w:szCs w:val="24"/>
        </w:rPr>
      </w:pPr>
    </w:p>
    <w:p w:rsidR="002830C1" w:rsidRPr="002830C1" w:rsidRDefault="002830C1" w:rsidP="002830C1">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647"/>
        <w:gridCol w:w="1947"/>
        <w:gridCol w:w="1440"/>
        <w:gridCol w:w="1854"/>
        <w:gridCol w:w="1408"/>
      </w:tblGrid>
      <w:tr w:rsidR="002830C1" w:rsidRPr="002830C1" w:rsidTr="002830C1">
        <w:trPr>
          <w:tblHeader/>
          <w:tblCellSpacing w:w="15" w:type="dxa"/>
        </w:trPr>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b/>
                <w:bCs/>
                <w:sz w:val="24"/>
                <w:szCs w:val="24"/>
                <w:lang w:val="en"/>
              </w:rPr>
            </w:pPr>
            <w:r w:rsidRPr="002830C1">
              <w:rPr>
                <w:rFonts w:ascii="Times New Roman" w:eastAsia="Times New Roman" w:hAnsi="Times New Roman" w:cs="Times New Roman"/>
                <w:b/>
                <w:bCs/>
                <w:sz w:val="24"/>
                <w:szCs w:val="24"/>
                <w:lang w:val="en"/>
              </w:rPr>
              <w:t>Variant ID</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b/>
                <w:bCs/>
                <w:sz w:val="24"/>
                <w:szCs w:val="24"/>
                <w:lang w:val="en"/>
              </w:rPr>
            </w:pPr>
            <w:r w:rsidRPr="002830C1">
              <w:rPr>
                <w:rFonts w:ascii="Times New Roman" w:eastAsia="Times New Roman" w:hAnsi="Times New Roman" w:cs="Times New Roman"/>
                <w:b/>
                <w:bCs/>
                <w:sz w:val="24"/>
                <w:szCs w:val="24"/>
                <w:lang w:val="en"/>
              </w:rPr>
              <w:t>Gene</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b/>
                <w:bCs/>
                <w:sz w:val="24"/>
                <w:szCs w:val="24"/>
                <w:lang w:val="en"/>
              </w:rPr>
            </w:pPr>
            <w:r w:rsidRPr="002830C1">
              <w:rPr>
                <w:rFonts w:ascii="Times New Roman" w:eastAsia="Times New Roman" w:hAnsi="Times New Roman" w:cs="Times New Roman"/>
                <w:b/>
                <w:bCs/>
                <w:sz w:val="24"/>
                <w:szCs w:val="24"/>
                <w:lang w:val="en"/>
              </w:rPr>
              <w:t>Genomic Location</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b/>
                <w:bCs/>
                <w:sz w:val="24"/>
                <w:szCs w:val="24"/>
                <w:lang w:val="en"/>
              </w:rPr>
            </w:pPr>
            <w:r w:rsidRPr="002830C1">
              <w:rPr>
                <w:rFonts w:ascii="Times New Roman" w:eastAsia="Times New Roman" w:hAnsi="Times New Roman" w:cs="Times New Roman"/>
                <w:b/>
                <w:bCs/>
                <w:sz w:val="24"/>
                <w:szCs w:val="24"/>
                <w:lang w:val="en"/>
              </w:rPr>
              <w:t>Variant Type</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b/>
                <w:bCs/>
                <w:sz w:val="24"/>
                <w:szCs w:val="24"/>
                <w:lang w:val="en"/>
              </w:rPr>
            </w:pPr>
            <w:r w:rsidRPr="002830C1">
              <w:rPr>
                <w:rFonts w:ascii="Times New Roman" w:eastAsia="Times New Roman" w:hAnsi="Times New Roman" w:cs="Times New Roman"/>
                <w:b/>
                <w:bCs/>
                <w:sz w:val="24"/>
                <w:szCs w:val="24"/>
                <w:lang w:val="en"/>
              </w:rPr>
              <w:t>Consequence</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b/>
                <w:bCs/>
                <w:sz w:val="24"/>
                <w:szCs w:val="24"/>
                <w:lang w:val="en"/>
              </w:rPr>
            </w:pPr>
            <w:r w:rsidRPr="002830C1">
              <w:rPr>
                <w:rFonts w:ascii="Times New Roman" w:eastAsia="Times New Roman" w:hAnsi="Times New Roman" w:cs="Times New Roman"/>
                <w:b/>
                <w:bCs/>
                <w:sz w:val="24"/>
                <w:szCs w:val="24"/>
                <w:lang w:val="en"/>
              </w:rPr>
              <w:t>Zygosity</w:t>
            </w:r>
          </w:p>
        </w:tc>
      </w:tr>
      <w:tr w:rsidR="002830C1" w:rsidRPr="002830C1" w:rsidTr="002830C1">
        <w:trPr>
          <w:tblCellSpacing w:w="15" w:type="dxa"/>
        </w:trPr>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sz w:val="24"/>
                <w:szCs w:val="24"/>
                <w:lang w:val="en"/>
              </w:rPr>
              <w:t>rs12345</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i/>
                <w:iCs/>
                <w:sz w:val="24"/>
                <w:szCs w:val="24"/>
                <w:lang w:val="en"/>
              </w:rPr>
              <w:t>GJB2</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sz w:val="24"/>
                <w:szCs w:val="24"/>
                <w:lang w:val="en"/>
              </w:rPr>
              <w:t>chr13:g.2076…</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b/>
                <w:bCs/>
                <w:sz w:val="24"/>
                <w:szCs w:val="24"/>
                <w:lang w:val="en"/>
              </w:rPr>
              <w:t>Missense</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sz w:val="24"/>
                <w:szCs w:val="24"/>
                <w:lang w:val="en"/>
              </w:rPr>
              <w:t>p.Leu79Cys</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sz w:val="24"/>
                <w:szCs w:val="24"/>
                <w:lang w:val="en"/>
              </w:rPr>
              <w:t>Homozygous</w:t>
            </w:r>
          </w:p>
        </w:tc>
      </w:tr>
      <w:tr w:rsidR="002830C1" w:rsidRPr="002830C1" w:rsidTr="002830C1">
        <w:trPr>
          <w:tblCellSpacing w:w="15" w:type="dxa"/>
        </w:trPr>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sz w:val="24"/>
                <w:szCs w:val="24"/>
                <w:lang w:val="en"/>
              </w:rPr>
              <w:t>novel_var1</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i/>
                <w:iCs/>
                <w:sz w:val="24"/>
                <w:szCs w:val="24"/>
                <w:lang w:val="en"/>
              </w:rPr>
              <w:t>CFTR</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sz w:val="24"/>
                <w:szCs w:val="24"/>
                <w:lang w:val="en"/>
              </w:rPr>
              <w:t>chr7:g.1171…</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b/>
                <w:bCs/>
                <w:sz w:val="24"/>
                <w:szCs w:val="24"/>
                <w:lang w:val="en"/>
              </w:rPr>
              <w:t>Frameshift</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sz w:val="24"/>
                <w:szCs w:val="24"/>
                <w:lang w:val="en"/>
              </w:rPr>
              <w:t>p.Glu263Glyfs*12</w:t>
            </w:r>
          </w:p>
        </w:tc>
        <w:tc>
          <w:tcPr>
            <w:tcW w:w="0" w:type="auto"/>
            <w:vAlign w:val="center"/>
            <w:hideMark/>
          </w:tcPr>
          <w:p w:rsidR="002830C1" w:rsidRPr="002830C1" w:rsidRDefault="002830C1" w:rsidP="002830C1">
            <w:pPr>
              <w:spacing w:after="0" w:line="240" w:lineRule="auto"/>
              <w:rPr>
                <w:rFonts w:ascii="Times New Roman" w:eastAsia="Times New Roman" w:hAnsi="Times New Roman" w:cs="Times New Roman"/>
                <w:sz w:val="24"/>
                <w:szCs w:val="24"/>
                <w:lang w:val="en"/>
              </w:rPr>
            </w:pPr>
            <w:r w:rsidRPr="002830C1">
              <w:rPr>
                <w:rFonts w:ascii="Times New Roman" w:eastAsia="Times New Roman" w:hAnsi="Times New Roman" w:cs="Times New Roman"/>
                <w:sz w:val="24"/>
                <w:szCs w:val="24"/>
                <w:lang w:val="en"/>
              </w:rPr>
              <w:t>Heterozygous</w:t>
            </w:r>
          </w:p>
        </w:tc>
      </w:tr>
    </w:tbl>
    <w:p w:rsidR="002830C1" w:rsidRPr="00FD5B8C" w:rsidRDefault="002830C1" w:rsidP="00435D4A">
      <w:pPr>
        <w:pStyle w:val="NormalWeb"/>
        <w:jc w:val="both"/>
        <w:rPr>
          <w:rFonts w:asciiTheme="majorBidi" w:hAnsiTheme="majorBidi" w:cstheme="majorBidi"/>
          <w:lang w:val="en"/>
        </w:rPr>
      </w:pPr>
      <w:bookmarkStart w:id="0" w:name="_GoBack"/>
      <w:bookmarkEnd w:id="0"/>
    </w:p>
    <w:p w:rsidR="007F692E" w:rsidRPr="00FD5B8C" w:rsidRDefault="006B5777" w:rsidP="00FD5B8C">
      <w:pPr>
        <w:pStyle w:val="Heading3"/>
        <w:jc w:val="both"/>
        <w:rPr>
          <w:rFonts w:asciiTheme="majorBidi" w:hAnsiTheme="majorBidi" w:cstheme="majorBidi"/>
          <w:sz w:val="24"/>
          <w:szCs w:val="24"/>
          <w:lang w:val="en"/>
        </w:rPr>
      </w:pPr>
      <w:r>
        <w:rPr>
          <w:rFonts w:asciiTheme="majorBidi" w:hAnsiTheme="majorBidi" w:cstheme="majorBidi"/>
          <w:sz w:val="24"/>
          <w:szCs w:val="24"/>
          <w:lang w:val="en"/>
        </w:rPr>
        <w:t>2:</w:t>
      </w:r>
      <w:r w:rsidR="007F692E" w:rsidRPr="00FD5B8C">
        <w:rPr>
          <w:rFonts w:asciiTheme="majorBidi" w:hAnsiTheme="majorBidi" w:cstheme="majorBidi"/>
          <w:sz w:val="24"/>
          <w:szCs w:val="24"/>
          <w:lang w:val="en"/>
        </w:rPr>
        <w:t xml:space="preserve"> Technical and Bioinformatic Hurdles in the Genomic Assessment of </w:t>
      </w:r>
      <w:r w:rsidR="007F692E" w:rsidRPr="00FD5B8C">
        <w:rPr>
          <w:rStyle w:val="Emphasis"/>
          <w:rFonts w:asciiTheme="majorBidi" w:hAnsiTheme="majorBidi" w:cstheme="majorBidi"/>
          <w:sz w:val="24"/>
          <w:szCs w:val="24"/>
          <w:lang w:val="en"/>
        </w:rPr>
        <w:t>DIP2B</w:t>
      </w:r>
    </w:p>
    <w:p w:rsidR="007F692E" w:rsidRPr="00FD5B8C" w:rsidRDefault="007F692E" w:rsidP="00FD5B8C">
      <w:pPr>
        <w:pStyle w:val="NormalWeb"/>
        <w:jc w:val="both"/>
        <w:rPr>
          <w:rFonts w:asciiTheme="majorBidi" w:hAnsiTheme="majorBidi" w:cstheme="majorBidi"/>
          <w:lang w:val="en"/>
        </w:rPr>
      </w:pPr>
      <w:r w:rsidRPr="00FD5B8C">
        <w:rPr>
          <w:rFonts w:asciiTheme="majorBidi" w:hAnsiTheme="majorBidi" w:cstheme="majorBidi"/>
          <w:lang w:val="en"/>
        </w:rPr>
        <w:t xml:space="preserve">Beyond the theoretical flaws of the neuro-genetic hypothesis, the clinical interpretation of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is plagued by persistent technical bottlenecks inherent in current high-throughput sequencing pipelines. The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locus exhibits high GC content and complex repetitive elements, structural characteristics that are notoriously difficult to resolve using standard short-read Next-Generation Sequencing (NGS). These regions often suffer from coverage bias during library preparation and PCR amplification, leading to suboptimal sequencing depth and mapping quality in clinical diagnostic settings. The primary bioinformatics challenge lies in the ambiguity of read alignment within the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intronic regions. Most variant calling pipelines rely on aligners that may struggle to map short reads uniquely to repetitive sequences, resulting in an increased frequency of “noise” or potential artifacts. When these technical discrepancies are misinterpreted as true genetic variants, they are frequently classified as Variants of Uncertain Significance (VUS). This proliferation of VUS in clinical reports creates a significant burden on the diagnostic process, often triggering unnecessary downstream testing and causing psychological distress for patients and their families, despite the lack of functional evidence for pathogenicity. Furthermore, there is a profound lack of standardization in how different diagnostic laboratories handle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variant calling. Variations in the bioinformatics pipelines—ranging from alignment algorithms (e.g., BWA-MEM vs. alternative aligners) to filtering thresholds—can lead to inter-laboratory discordance. A variant identified as “likely pathogenic” in one facility may be classified as “benign” or “VUS” in another, simply due to the divergence in computational workflows rather than biological reality. This inconsistency underscores a critical limitation in current precision medicine: the assumption that genomic data is uniform, when in fact, the technological “lens” through which we view the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locus varies significantly. Therefore, until standard protocols for mapping complex, repeat-rich loci are established, the clinical utility of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as a stand-alone diagnostic biomarker remains highly questionable.</w:t>
      </w:r>
    </w:p>
    <w:p w:rsidR="007F692E" w:rsidRPr="00FD5B8C" w:rsidRDefault="006B5777" w:rsidP="00FD5B8C">
      <w:pPr>
        <w:pStyle w:val="Heading3"/>
        <w:jc w:val="both"/>
        <w:rPr>
          <w:rFonts w:asciiTheme="majorBidi" w:hAnsiTheme="majorBidi" w:cstheme="majorBidi"/>
          <w:sz w:val="24"/>
          <w:szCs w:val="24"/>
          <w:lang w:val="en"/>
        </w:rPr>
      </w:pPr>
      <w:r>
        <w:rPr>
          <w:rFonts w:asciiTheme="majorBidi" w:hAnsiTheme="majorBidi" w:cstheme="majorBidi"/>
          <w:sz w:val="24"/>
          <w:szCs w:val="24"/>
          <w:lang w:val="en"/>
        </w:rPr>
        <w:t>3:</w:t>
      </w:r>
      <w:r w:rsidR="007F692E" w:rsidRPr="00FD5B8C">
        <w:rPr>
          <w:rFonts w:asciiTheme="majorBidi" w:hAnsiTheme="majorBidi" w:cstheme="majorBidi"/>
          <w:sz w:val="24"/>
          <w:szCs w:val="24"/>
          <w:lang w:val="en"/>
        </w:rPr>
        <w:t xml:space="preserve"> Emerging Horizons: </w:t>
      </w:r>
      <w:r w:rsidR="007F692E" w:rsidRPr="00FD5B8C">
        <w:rPr>
          <w:rStyle w:val="Emphasis"/>
          <w:rFonts w:asciiTheme="majorBidi" w:hAnsiTheme="majorBidi" w:cstheme="majorBidi"/>
          <w:sz w:val="24"/>
          <w:szCs w:val="24"/>
          <w:lang w:val="en"/>
        </w:rPr>
        <w:t>DIP2B</w:t>
      </w:r>
      <w:r w:rsidR="007F692E" w:rsidRPr="00FD5B8C">
        <w:rPr>
          <w:rFonts w:asciiTheme="majorBidi" w:hAnsiTheme="majorBidi" w:cstheme="majorBidi"/>
          <w:sz w:val="24"/>
          <w:szCs w:val="24"/>
          <w:lang w:val="en"/>
        </w:rPr>
        <w:t xml:space="preserve"> at the Interface of Environmental Exposure and Endocrine Susceptibility</w:t>
      </w:r>
    </w:p>
    <w:p w:rsidR="007F692E" w:rsidRPr="00FD5B8C" w:rsidRDefault="007F692E" w:rsidP="00FD5B8C">
      <w:pPr>
        <w:pStyle w:val="NormalWeb"/>
        <w:jc w:val="both"/>
        <w:rPr>
          <w:rFonts w:asciiTheme="majorBidi" w:hAnsiTheme="majorBidi" w:cstheme="majorBidi"/>
          <w:lang w:val="en"/>
        </w:rPr>
      </w:pPr>
      <w:r w:rsidRPr="00FD5B8C">
        <w:rPr>
          <w:rFonts w:asciiTheme="majorBidi" w:hAnsiTheme="majorBidi" w:cstheme="majorBidi"/>
          <w:lang w:val="en"/>
        </w:rPr>
        <w:t xml:space="preserve">While the evidence for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in neurological repeat-expansion disorders remains tenuous, an emerging body of research suggests that the functional relevance of the </w:t>
      </w:r>
      <w:r w:rsidRPr="00FD5B8C">
        <w:rPr>
          <w:rStyle w:val="Emphasis"/>
          <w:rFonts w:asciiTheme="majorBidi" w:hAnsiTheme="majorBidi" w:cstheme="majorBidi"/>
          <w:lang w:val="en"/>
        </w:rPr>
        <w:t>DIP2</w:t>
      </w:r>
      <w:r w:rsidRPr="00FD5B8C">
        <w:rPr>
          <w:rFonts w:asciiTheme="majorBidi" w:hAnsiTheme="majorBidi" w:cstheme="majorBidi"/>
          <w:lang w:val="en"/>
        </w:rPr>
        <w:t xml:space="preserve"> gene family may lie in systemic metabolic and endocrine responses rather than primary neuro-developmental pathways. Specifically, recent preliminary data and transcriptome analyses have highlighted potential associations between </w:t>
      </w:r>
      <w:r w:rsidRPr="00FD5B8C">
        <w:rPr>
          <w:rStyle w:val="Emphasis"/>
          <w:rFonts w:asciiTheme="majorBidi" w:hAnsiTheme="majorBidi" w:cstheme="majorBidi"/>
          <w:lang w:val="en"/>
        </w:rPr>
        <w:t>DIP2</w:t>
      </w:r>
      <w:r w:rsidRPr="00FD5B8C">
        <w:rPr>
          <w:rFonts w:asciiTheme="majorBidi" w:hAnsiTheme="majorBidi" w:cstheme="majorBidi"/>
          <w:lang w:val="en"/>
        </w:rPr>
        <w:t xml:space="preserve"> expression levels and susceptibility to endocrine-disrupting chemicals (EDCs).</w:t>
      </w:r>
    </w:p>
    <w:p w:rsidR="007F692E" w:rsidRPr="00FD5B8C" w:rsidRDefault="007F692E" w:rsidP="00FD5B8C">
      <w:pPr>
        <w:pStyle w:val="NormalWeb"/>
        <w:jc w:val="both"/>
        <w:rPr>
          <w:rFonts w:asciiTheme="majorBidi" w:hAnsiTheme="majorBidi" w:cstheme="majorBidi"/>
          <w:lang w:val="en"/>
        </w:rPr>
      </w:pPr>
      <w:r w:rsidRPr="00FD5B8C">
        <w:rPr>
          <w:rFonts w:asciiTheme="majorBidi" w:hAnsiTheme="majorBidi" w:cstheme="majorBidi"/>
          <w:lang w:val="en"/>
        </w:rPr>
        <w:t xml:space="preserve">The shift in perspective stems from the growing realization that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may act as a mediator in cellular responses to environmental stressors. Studies investigating the molecular pathophysiology of endometriosis have noted dysregulated expression patterns in loci previously disregarded in routine clinical NGS. Within this context,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is hypothesized to play a role in the epigenetic maintenance or remodeling of specific promoter regions in response to hormonal fluctuations. Unlike the “genetic determinism” of the repeat-expansion model, this view posits that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acts as a “responsive regulator.” When exposed to environmental toxins or altered hormonal environments, the genomic stability of this locus—particularly its GC-rich 5’ UTR—may become a site of epigenetic vulnerability, thereby modulating downstream signaling pathways involved in tissue proliferation and inflammation.</w:t>
      </w:r>
    </w:p>
    <w:p w:rsidR="007F692E" w:rsidRDefault="007F692E" w:rsidP="00FD5B8C">
      <w:pPr>
        <w:pStyle w:val="NormalWeb"/>
        <w:jc w:val="both"/>
        <w:rPr>
          <w:rFonts w:asciiTheme="majorBidi" w:hAnsiTheme="majorBidi" w:cstheme="majorBidi"/>
          <w:lang w:val="en"/>
        </w:rPr>
      </w:pPr>
      <w:r w:rsidRPr="00FD5B8C">
        <w:rPr>
          <w:rFonts w:asciiTheme="majorBidi" w:hAnsiTheme="majorBidi" w:cstheme="majorBidi"/>
          <w:lang w:val="en"/>
        </w:rPr>
        <w:t xml:space="preserve">This pivot is not merely a theoretical exercise; it represents a fundamental change in how we categorize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If this gene is indeed a biomarker for susceptibility to environmental factors, then the “VUS” status often assigned to it in neurological panels is not a result of biological silence, but of investigating the wrong phenotype entirely. Clinicians and researchers must now look toward integrating epigenetic data (e.g., DNA methylation arrays) with targeted sequencing to determine if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variants interact with environmental inputs to drive systemic pathology. This transition moves the research agenda away from high-penetrance Mendelian disease models toward a more nuanced, multi-factorial understanding of gene-environment interactions.</w:t>
      </w:r>
    </w:p>
    <w:p w:rsidR="00435D4A" w:rsidRDefault="00435D4A" w:rsidP="00FD5B8C">
      <w:pPr>
        <w:pStyle w:val="NormalWeb"/>
        <w:jc w:val="both"/>
        <w:rPr>
          <w:rFonts w:asciiTheme="majorBidi" w:hAnsiTheme="majorBidi" w:cstheme="majorBidi"/>
          <w:lang w:val="en"/>
        </w:rPr>
      </w:pPr>
    </w:p>
    <w:p w:rsidR="00435D4A" w:rsidRDefault="00435D4A" w:rsidP="00FD5B8C">
      <w:pPr>
        <w:pStyle w:val="NormalWeb"/>
        <w:jc w:val="both"/>
        <w:rPr>
          <w:rFonts w:asciiTheme="majorBidi" w:hAnsiTheme="majorBidi" w:cstheme="majorBidi"/>
          <w:lang w:val="en"/>
        </w:rPr>
      </w:pPr>
    </w:p>
    <w:p w:rsidR="00336BD3" w:rsidRPr="00FD5B8C" w:rsidRDefault="00336BD3" w:rsidP="00FD5B8C">
      <w:pPr>
        <w:pStyle w:val="NormalWeb"/>
        <w:jc w:val="both"/>
        <w:rPr>
          <w:rFonts w:asciiTheme="majorBidi" w:hAnsiTheme="majorBidi" w:cstheme="majorBidi"/>
          <w:lang w:val="en"/>
        </w:rPr>
      </w:pPr>
    </w:p>
    <w:p w:rsidR="007F692E" w:rsidRPr="00FD5B8C" w:rsidRDefault="007F692E" w:rsidP="00FD5B8C">
      <w:pPr>
        <w:pStyle w:val="Heading3"/>
        <w:jc w:val="both"/>
        <w:rPr>
          <w:rFonts w:asciiTheme="majorBidi" w:hAnsiTheme="majorBidi" w:cstheme="majorBidi"/>
          <w:sz w:val="24"/>
          <w:szCs w:val="24"/>
          <w:lang w:val="en"/>
        </w:rPr>
      </w:pPr>
      <w:r w:rsidRPr="00FD5B8C">
        <w:rPr>
          <w:rFonts w:asciiTheme="majorBidi" w:hAnsiTheme="majorBidi" w:cstheme="majorBidi"/>
          <w:sz w:val="24"/>
          <w:szCs w:val="24"/>
          <w:lang w:val="en"/>
        </w:rPr>
        <w:t>4. Clinical Recommendations and Future Perspectives</w:t>
      </w:r>
    </w:p>
    <w:p w:rsidR="007F692E" w:rsidRPr="00FD5B8C" w:rsidRDefault="007F692E" w:rsidP="00FD5B8C">
      <w:pPr>
        <w:pStyle w:val="NormalWeb"/>
        <w:jc w:val="both"/>
        <w:rPr>
          <w:rFonts w:asciiTheme="majorBidi" w:hAnsiTheme="majorBidi" w:cstheme="majorBidi"/>
          <w:lang w:val="en"/>
        </w:rPr>
      </w:pPr>
      <w:r w:rsidRPr="00FD5B8C">
        <w:rPr>
          <w:rFonts w:asciiTheme="majorBidi" w:hAnsiTheme="majorBidi" w:cstheme="majorBidi"/>
          <w:lang w:val="en"/>
        </w:rPr>
        <w:t xml:space="preserve">The re-classification of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from a potential neuro-genetic driver to a candidate for multi-factorial, environmentally-responsive assessment necessitates a shift in clinical diagnostic protocols. To mitigate the clinical burden of ambiguous results, we propose the following paradigm for the handling of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variants in diagnostic settings:</w:t>
      </w:r>
    </w:p>
    <w:p w:rsidR="007F692E" w:rsidRPr="00FD5B8C" w:rsidRDefault="006B5777" w:rsidP="00FD5B8C">
      <w:pPr>
        <w:pStyle w:val="NormalWeb"/>
        <w:jc w:val="both"/>
        <w:rPr>
          <w:rFonts w:asciiTheme="majorBidi" w:hAnsiTheme="majorBidi" w:cstheme="majorBidi"/>
          <w:lang w:val="en"/>
        </w:rPr>
      </w:pPr>
      <w:r>
        <w:rPr>
          <w:rStyle w:val="Strong"/>
          <w:rFonts w:asciiTheme="majorBidi" w:hAnsiTheme="majorBidi" w:cstheme="majorBidi"/>
          <w:lang w:val="en"/>
        </w:rPr>
        <w:t>5:</w:t>
      </w:r>
      <w:r w:rsidR="007F692E" w:rsidRPr="00FD5B8C">
        <w:rPr>
          <w:rStyle w:val="Strong"/>
          <w:rFonts w:asciiTheme="majorBidi" w:hAnsiTheme="majorBidi" w:cstheme="majorBidi"/>
          <w:lang w:val="en"/>
        </w:rPr>
        <w:t xml:space="preserve"> Towards Integrative Phenotyping</w:t>
      </w:r>
    </w:p>
    <w:p w:rsidR="007F692E" w:rsidRPr="00FD5B8C" w:rsidRDefault="007F692E" w:rsidP="00FD5B8C">
      <w:pPr>
        <w:pStyle w:val="NormalWeb"/>
        <w:jc w:val="both"/>
        <w:rPr>
          <w:rFonts w:asciiTheme="majorBidi" w:hAnsiTheme="majorBidi" w:cstheme="majorBidi"/>
          <w:lang w:val="en"/>
        </w:rPr>
      </w:pPr>
      <w:r w:rsidRPr="00FD5B8C">
        <w:rPr>
          <w:rFonts w:asciiTheme="majorBidi" w:hAnsiTheme="majorBidi" w:cstheme="majorBidi"/>
          <w:lang w:val="en"/>
        </w:rPr>
        <w:t xml:space="preserve">Clinicians should exercise caution when assigning pathogenic weight to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variants in the absence of a classic, segregating Mendelian phenotype. Instead of treating these findings as isolated diagnostic end-points, they should be interpreted within the broader context of the patient’s systemic health. Future screening efforts should prioritize “Integrative Phenotyping”—a strategy that combines genomic findings with longitudinal clinical data, including environmental exposure history and endocrine profiles.</w:t>
      </w:r>
    </w:p>
    <w:p w:rsidR="007F692E" w:rsidRPr="00FD5B8C" w:rsidRDefault="00336BD3" w:rsidP="00FD5B8C">
      <w:pPr>
        <w:pStyle w:val="NormalWeb"/>
        <w:jc w:val="both"/>
        <w:rPr>
          <w:rFonts w:asciiTheme="majorBidi" w:hAnsiTheme="majorBidi" w:cstheme="majorBidi"/>
          <w:lang w:val="en"/>
        </w:rPr>
      </w:pPr>
      <w:r>
        <w:rPr>
          <w:rStyle w:val="Strong"/>
          <w:rFonts w:asciiTheme="majorBidi" w:hAnsiTheme="majorBidi" w:cstheme="majorBidi"/>
          <w:lang w:val="en"/>
        </w:rPr>
        <w:t>6</w:t>
      </w:r>
      <w:r w:rsidR="007F692E" w:rsidRPr="00FD5B8C">
        <w:rPr>
          <w:rStyle w:val="Strong"/>
          <w:rFonts w:asciiTheme="majorBidi" w:hAnsiTheme="majorBidi" w:cstheme="majorBidi"/>
          <w:lang w:val="en"/>
        </w:rPr>
        <w:t xml:space="preserve"> Standardization of Bioinformatics Reporting</w:t>
      </w:r>
    </w:p>
    <w:p w:rsidR="007F692E" w:rsidRPr="00FD5B8C" w:rsidRDefault="007F692E" w:rsidP="00FD5B8C">
      <w:pPr>
        <w:pStyle w:val="NormalWeb"/>
        <w:jc w:val="both"/>
        <w:rPr>
          <w:rFonts w:asciiTheme="majorBidi" w:hAnsiTheme="majorBidi" w:cstheme="majorBidi"/>
          <w:lang w:val="en"/>
        </w:rPr>
      </w:pPr>
      <w:r w:rsidRPr="00FD5B8C">
        <w:rPr>
          <w:rFonts w:asciiTheme="majorBidi" w:hAnsiTheme="majorBidi" w:cstheme="majorBidi"/>
          <w:lang w:val="en"/>
        </w:rPr>
        <w:t xml:space="preserve">The inter-laboratory discordance currently observed requires urgent harmonization. We recommend that diagnostic laboratories adopt unified guidelines for the calling of repeat-rich regions. This includes the mandatory disclosure of read depth and mapping confidence (e.g., Q-scores) specifically for the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locus in clinical reports. By labeling these as “technically constrained regions” rather than “likely pathogenic,” laboratories can communicate uncertainty effectively, reducing unnecessary parental anxiety and preventing the misallocation of healthcare resources.</w:t>
      </w:r>
    </w:p>
    <w:p w:rsidR="007F692E" w:rsidRPr="00FD5B8C" w:rsidRDefault="00336BD3" w:rsidP="00FD5B8C">
      <w:pPr>
        <w:pStyle w:val="NormalWeb"/>
        <w:jc w:val="both"/>
        <w:rPr>
          <w:rFonts w:asciiTheme="majorBidi" w:hAnsiTheme="majorBidi" w:cstheme="majorBidi"/>
          <w:lang w:val="en"/>
        </w:rPr>
      </w:pPr>
      <w:r>
        <w:rPr>
          <w:rStyle w:val="Strong"/>
          <w:rFonts w:asciiTheme="majorBidi" w:hAnsiTheme="majorBidi" w:cstheme="majorBidi"/>
          <w:lang w:val="en"/>
        </w:rPr>
        <w:t>7</w:t>
      </w:r>
      <w:r w:rsidR="007F692E" w:rsidRPr="00FD5B8C">
        <w:rPr>
          <w:rStyle w:val="Strong"/>
          <w:rFonts w:asciiTheme="majorBidi" w:hAnsiTheme="majorBidi" w:cstheme="majorBidi"/>
          <w:lang w:val="en"/>
        </w:rPr>
        <w:t xml:space="preserve"> Research Directives: Epigenetic and Multi-Omic Studies</w:t>
      </w:r>
    </w:p>
    <w:p w:rsidR="007F692E" w:rsidRPr="00FD5B8C" w:rsidRDefault="007F692E" w:rsidP="00FD5B8C">
      <w:pPr>
        <w:pStyle w:val="NormalWeb"/>
        <w:jc w:val="both"/>
        <w:rPr>
          <w:rFonts w:asciiTheme="majorBidi" w:hAnsiTheme="majorBidi" w:cstheme="majorBidi"/>
          <w:lang w:val="en"/>
        </w:rPr>
      </w:pPr>
      <w:r w:rsidRPr="00FD5B8C">
        <w:rPr>
          <w:rFonts w:asciiTheme="majorBidi" w:hAnsiTheme="majorBidi" w:cstheme="majorBidi"/>
          <w:lang w:val="en"/>
        </w:rPr>
        <w:t xml:space="preserve">The hypothesis that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mediates responses to endocrine-disrupting chemicals (EDCs) requires robust validation through functional genomics. Moving forward, research should focus on:</w:t>
      </w:r>
    </w:p>
    <w:p w:rsidR="007F692E" w:rsidRPr="00FD5B8C" w:rsidRDefault="007F692E" w:rsidP="00FD5B8C">
      <w:pPr>
        <w:numPr>
          <w:ilvl w:val="0"/>
          <w:numId w:val="1"/>
        </w:numPr>
        <w:spacing w:before="100" w:beforeAutospacing="1" w:after="100" w:afterAutospacing="1" w:line="240" w:lineRule="auto"/>
        <w:jc w:val="both"/>
        <w:rPr>
          <w:rFonts w:asciiTheme="majorBidi" w:hAnsiTheme="majorBidi" w:cstheme="majorBidi"/>
          <w:sz w:val="24"/>
          <w:szCs w:val="24"/>
          <w:lang w:val="en"/>
        </w:rPr>
      </w:pPr>
      <w:r w:rsidRPr="00FD5B8C">
        <w:rPr>
          <w:rStyle w:val="Strong"/>
          <w:rFonts w:asciiTheme="majorBidi" w:hAnsiTheme="majorBidi" w:cstheme="majorBidi"/>
          <w:sz w:val="24"/>
          <w:szCs w:val="24"/>
          <w:lang w:val="en"/>
        </w:rPr>
        <w:t>Epigenetic Mapping:</w:t>
      </w:r>
      <w:r w:rsidRPr="00FD5B8C">
        <w:rPr>
          <w:rFonts w:asciiTheme="majorBidi" w:hAnsiTheme="majorBidi" w:cstheme="majorBidi"/>
          <w:sz w:val="24"/>
          <w:szCs w:val="24"/>
          <w:lang w:val="en"/>
        </w:rPr>
        <w:t xml:space="preserve"> Investigating the methylation status of the </w:t>
      </w:r>
      <w:r w:rsidRPr="00FD5B8C">
        <w:rPr>
          <w:rStyle w:val="Emphasis"/>
          <w:rFonts w:asciiTheme="majorBidi" w:hAnsiTheme="majorBidi" w:cstheme="majorBidi"/>
          <w:sz w:val="24"/>
          <w:szCs w:val="24"/>
          <w:lang w:val="en"/>
        </w:rPr>
        <w:t>DIP2B</w:t>
      </w:r>
      <w:r w:rsidRPr="00FD5B8C">
        <w:rPr>
          <w:rFonts w:asciiTheme="majorBidi" w:hAnsiTheme="majorBidi" w:cstheme="majorBidi"/>
          <w:sz w:val="24"/>
          <w:szCs w:val="24"/>
          <w:lang w:val="en"/>
        </w:rPr>
        <w:t xml:space="preserve"> 5’ UTR in tissues exposed to environmental stressors compared to healthy controls.</w:t>
      </w:r>
    </w:p>
    <w:p w:rsidR="007F692E" w:rsidRPr="00FD5B8C" w:rsidRDefault="007F692E" w:rsidP="00FD5B8C">
      <w:pPr>
        <w:numPr>
          <w:ilvl w:val="0"/>
          <w:numId w:val="1"/>
        </w:numPr>
        <w:spacing w:before="100" w:beforeAutospacing="1" w:after="100" w:afterAutospacing="1" w:line="240" w:lineRule="auto"/>
        <w:jc w:val="both"/>
        <w:rPr>
          <w:rFonts w:asciiTheme="majorBidi" w:hAnsiTheme="majorBidi" w:cstheme="majorBidi"/>
          <w:sz w:val="24"/>
          <w:szCs w:val="24"/>
          <w:lang w:val="en"/>
        </w:rPr>
      </w:pPr>
      <w:r w:rsidRPr="00FD5B8C">
        <w:rPr>
          <w:rStyle w:val="Strong"/>
          <w:rFonts w:asciiTheme="majorBidi" w:hAnsiTheme="majorBidi" w:cstheme="majorBidi"/>
          <w:sz w:val="24"/>
          <w:szCs w:val="24"/>
          <w:lang w:val="en"/>
        </w:rPr>
        <w:t>Transcriptomic Profiling:</w:t>
      </w:r>
      <w:r w:rsidRPr="00FD5B8C">
        <w:rPr>
          <w:rFonts w:asciiTheme="majorBidi" w:hAnsiTheme="majorBidi" w:cstheme="majorBidi"/>
          <w:sz w:val="24"/>
          <w:szCs w:val="24"/>
          <w:lang w:val="en"/>
        </w:rPr>
        <w:t xml:space="preserve"> Utilizing organ-on-a-chip models or patient-derived cell lines to observe how </w:t>
      </w:r>
      <w:r w:rsidRPr="00FD5B8C">
        <w:rPr>
          <w:rStyle w:val="Emphasis"/>
          <w:rFonts w:asciiTheme="majorBidi" w:hAnsiTheme="majorBidi" w:cstheme="majorBidi"/>
          <w:sz w:val="24"/>
          <w:szCs w:val="24"/>
          <w:lang w:val="en"/>
        </w:rPr>
        <w:t>DIP2B</w:t>
      </w:r>
      <w:r w:rsidRPr="00FD5B8C">
        <w:rPr>
          <w:rFonts w:asciiTheme="majorBidi" w:hAnsiTheme="majorBidi" w:cstheme="majorBidi"/>
          <w:sz w:val="24"/>
          <w:szCs w:val="24"/>
          <w:lang w:val="en"/>
        </w:rPr>
        <w:t xml:space="preserve"> expression alters in response to specific hormonal inputs (e.g., estrogenic compounds).</w:t>
      </w:r>
    </w:p>
    <w:p w:rsidR="007F692E" w:rsidRPr="00FD5B8C" w:rsidRDefault="007F692E" w:rsidP="00FD5B8C">
      <w:pPr>
        <w:pStyle w:val="NormalWeb"/>
        <w:jc w:val="both"/>
        <w:rPr>
          <w:rFonts w:asciiTheme="majorBidi" w:hAnsiTheme="majorBidi" w:cstheme="majorBidi"/>
          <w:lang w:val="en"/>
        </w:rPr>
      </w:pPr>
      <w:r w:rsidRPr="00FD5B8C">
        <w:rPr>
          <w:rFonts w:asciiTheme="majorBidi" w:hAnsiTheme="majorBidi" w:cstheme="majorBidi"/>
          <w:lang w:val="en"/>
        </w:rPr>
        <w:t xml:space="preserve">By shifting the focus from simple sequencing to multi-omic integration, the scientific community can disentangle the biological role of </w:t>
      </w:r>
      <w:r w:rsidRPr="00FD5B8C">
        <w:rPr>
          <w:rStyle w:val="Emphasis"/>
          <w:rFonts w:asciiTheme="majorBidi" w:hAnsiTheme="majorBidi" w:cstheme="majorBidi"/>
          <w:lang w:val="en"/>
        </w:rPr>
        <w:t>DIP2B</w:t>
      </w:r>
      <w:r w:rsidRPr="00FD5B8C">
        <w:rPr>
          <w:rFonts w:asciiTheme="majorBidi" w:hAnsiTheme="majorBidi" w:cstheme="majorBidi"/>
          <w:lang w:val="en"/>
        </w:rPr>
        <w:t>, transforming it from a source of “diagnostic noise” into a potentially valuable biomarker for environmental and endocrine health.</w:t>
      </w:r>
    </w:p>
    <w:p w:rsidR="00C25B98" w:rsidRDefault="00C25B98" w:rsidP="00FD5B8C">
      <w:pPr>
        <w:pStyle w:val="Heading3"/>
        <w:jc w:val="both"/>
        <w:rPr>
          <w:rFonts w:asciiTheme="majorBidi" w:hAnsiTheme="majorBidi" w:cstheme="majorBidi"/>
          <w:sz w:val="24"/>
          <w:szCs w:val="24"/>
          <w:lang w:val="en"/>
        </w:rPr>
      </w:pPr>
    </w:p>
    <w:p w:rsidR="00C25B98" w:rsidRDefault="00C25B98" w:rsidP="00FD5B8C">
      <w:pPr>
        <w:pStyle w:val="Heading3"/>
        <w:jc w:val="both"/>
        <w:rPr>
          <w:rFonts w:asciiTheme="majorBidi" w:hAnsiTheme="majorBidi" w:cstheme="majorBidi"/>
          <w:sz w:val="24"/>
          <w:szCs w:val="24"/>
          <w:lang w:val="en"/>
        </w:rPr>
      </w:pPr>
    </w:p>
    <w:p w:rsidR="00C25B98" w:rsidRDefault="00C25B98" w:rsidP="00FD5B8C">
      <w:pPr>
        <w:pStyle w:val="Heading3"/>
        <w:jc w:val="both"/>
        <w:rPr>
          <w:rFonts w:asciiTheme="majorBidi" w:hAnsiTheme="majorBidi" w:cstheme="majorBidi"/>
          <w:sz w:val="24"/>
          <w:szCs w:val="24"/>
          <w:lang w:val="en"/>
        </w:rPr>
      </w:pPr>
    </w:p>
    <w:p w:rsidR="007F692E" w:rsidRPr="00FD5B8C" w:rsidRDefault="00336BD3" w:rsidP="00FD5B8C">
      <w:pPr>
        <w:pStyle w:val="Heading3"/>
        <w:jc w:val="both"/>
        <w:rPr>
          <w:rFonts w:asciiTheme="majorBidi" w:hAnsiTheme="majorBidi" w:cstheme="majorBidi"/>
          <w:sz w:val="24"/>
          <w:szCs w:val="24"/>
          <w:lang w:val="en"/>
        </w:rPr>
      </w:pPr>
      <w:r>
        <w:rPr>
          <w:rFonts w:asciiTheme="majorBidi" w:hAnsiTheme="majorBidi" w:cstheme="majorBidi"/>
          <w:sz w:val="24"/>
          <w:szCs w:val="24"/>
          <w:lang w:val="en"/>
        </w:rPr>
        <w:t>8</w:t>
      </w:r>
      <w:r w:rsidR="007F692E" w:rsidRPr="00FD5B8C">
        <w:rPr>
          <w:rFonts w:asciiTheme="majorBidi" w:hAnsiTheme="majorBidi" w:cstheme="majorBidi"/>
          <w:sz w:val="24"/>
          <w:szCs w:val="24"/>
          <w:lang w:val="en"/>
        </w:rPr>
        <w:t>. Conclusion</w:t>
      </w:r>
    </w:p>
    <w:p w:rsidR="007F692E" w:rsidRPr="00FD5B8C" w:rsidRDefault="007F692E" w:rsidP="00336BD3">
      <w:pPr>
        <w:pStyle w:val="NormalWeb"/>
        <w:jc w:val="both"/>
        <w:rPr>
          <w:rFonts w:asciiTheme="majorBidi" w:hAnsiTheme="majorBidi" w:cstheme="majorBidi"/>
          <w:lang w:val="en"/>
        </w:rPr>
      </w:pPr>
      <w:r w:rsidRPr="00FD5B8C">
        <w:rPr>
          <w:rFonts w:asciiTheme="majorBidi" w:hAnsiTheme="majorBidi" w:cstheme="majorBidi"/>
          <w:lang w:val="en"/>
        </w:rPr>
        <w:t xml:space="preserve">The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locus stands as a compelling case study in the challenges of modern genomic medicine. Throughout this review, we have demonstrated that the prevailing hypothesis—linking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repeat expansions to primary neuro-developmental or epileptic phenotypes—rests on a fragile foundation of over-simplified paradigms and methodological bias. By critically evaluating existing literature, it becomes evident that the “neuro-genetic” narrative likely stems from a conflation of structural genomic complexity with clinical pathogenicity.The persistent reports of Variants of Uncertain Significance (VUS) within this locus are not merely a reflection of biological complexity, but are often products of the technical constraints inherent in current short-read sequencing technologies. Furthermore, our re-evaluation suggests that the scientific community may have been looking through the wrong lens. The emerging data points toward a more plausible role for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at the interface of endocrine susceptibility and environmental response, rather than as a primary Mendelian driver of neurological disease.In conclusion, the clinical interpretation of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requires a necessary paradigm shift. We must move beyond the reductionist model of “repeat-length equals disease” and embrace a more integrative, multi-omic approach that incorporates environmental and epigenetic context. Until such standards are established, diagnostic and research efforts should treat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findings with extreme caution, prioritizing the reporting of technical confidence over premature clinical labeling. Ultimately, refining our understanding of </w:t>
      </w:r>
      <w:r w:rsidRPr="00FD5B8C">
        <w:rPr>
          <w:rStyle w:val="Emphasis"/>
          <w:rFonts w:asciiTheme="majorBidi" w:hAnsiTheme="majorBidi" w:cstheme="majorBidi"/>
          <w:lang w:val="en"/>
        </w:rPr>
        <w:t>DIP2B</w:t>
      </w:r>
      <w:r w:rsidRPr="00FD5B8C">
        <w:rPr>
          <w:rFonts w:asciiTheme="majorBidi" w:hAnsiTheme="majorBidi" w:cstheme="majorBidi"/>
          <w:lang w:val="en"/>
        </w:rPr>
        <w:t xml:space="preserve"> is not just about correcting a genomic interpretation; it is about advancing the precision and reliability of clinical genomics in the era of high-throughput data.</w:t>
      </w:r>
    </w:p>
    <w:p w:rsidR="007F692E" w:rsidRDefault="007F692E" w:rsidP="00FD5B8C">
      <w:pPr>
        <w:pStyle w:val="NormalWeb"/>
        <w:jc w:val="both"/>
        <w:rPr>
          <w:rFonts w:asciiTheme="majorBidi" w:hAnsiTheme="majorBidi" w:cstheme="majorBidi"/>
          <w:lang w:val="en"/>
        </w:rPr>
      </w:pPr>
    </w:p>
    <w:p w:rsidR="00C25B98" w:rsidRDefault="00435D4A" w:rsidP="00435D4A">
      <w:pPr>
        <w:pStyle w:val="NormalWeb"/>
        <w:jc w:val="both"/>
        <w:rPr>
          <w:rFonts w:asciiTheme="majorBidi" w:hAnsiTheme="majorBidi" w:cstheme="majorBidi"/>
          <w:lang w:val="en"/>
        </w:rPr>
      </w:pPr>
      <w:r>
        <w:rPr>
          <w:rFonts w:asciiTheme="majorBidi" w:hAnsiTheme="majorBidi" w:cstheme="majorBidi"/>
          <w:noProof/>
        </w:rPr>
        <w:drawing>
          <wp:inline distT="0" distB="0" distL="0" distR="0" wp14:anchorId="1395CA3F" wp14:editId="747C9B90">
            <wp:extent cx="5943600" cy="2295525"/>
            <wp:effectExtent l="0" t="0" r="0" b="9525"/>
            <wp:docPr id="1" name="Picture 1" descr="C:\Users\PC-2\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2\Desktop\Captur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rsidR="00C25B98" w:rsidRDefault="00435D4A" w:rsidP="00435D4A">
      <w:pPr>
        <w:pStyle w:val="NormalWeb"/>
        <w:jc w:val="center"/>
        <w:rPr>
          <w:rFonts w:asciiTheme="majorBidi" w:hAnsiTheme="majorBidi" w:cstheme="majorBidi"/>
          <w:lang w:val="en"/>
        </w:rPr>
      </w:pPr>
      <w:r>
        <w:t>“The patient subjected to Whole Exome Sequencing (WES) analysis.”</w:t>
      </w:r>
    </w:p>
    <w:p w:rsidR="00C25B98" w:rsidRDefault="00C25B98" w:rsidP="00FD5B8C">
      <w:pPr>
        <w:pStyle w:val="NormalWeb"/>
        <w:jc w:val="both"/>
        <w:rPr>
          <w:rFonts w:asciiTheme="majorBidi" w:hAnsiTheme="majorBidi" w:cstheme="majorBidi"/>
          <w:lang w:val="en"/>
        </w:rPr>
      </w:pPr>
    </w:p>
    <w:p w:rsidR="00C25B98" w:rsidRDefault="00C25B98" w:rsidP="00FD5B8C">
      <w:pPr>
        <w:pStyle w:val="NormalWeb"/>
        <w:jc w:val="both"/>
        <w:rPr>
          <w:rFonts w:asciiTheme="majorBidi" w:hAnsiTheme="majorBidi" w:cstheme="majorBidi"/>
          <w:lang w:val="en"/>
        </w:rPr>
      </w:pPr>
    </w:p>
    <w:p w:rsidR="00C25B98" w:rsidRDefault="00C25B98" w:rsidP="00FD5B8C">
      <w:pPr>
        <w:pStyle w:val="NormalWeb"/>
        <w:jc w:val="both"/>
        <w:rPr>
          <w:rFonts w:asciiTheme="majorBidi" w:hAnsiTheme="majorBidi" w:cstheme="majorBidi"/>
          <w:lang w:val="en"/>
        </w:rPr>
      </w:pPr>
    </w:p>
    <w:p w:rsidR="007F692E" w:rsidRPr="007F692E" w:rsidRDefault="007F692E" w:rsidP="00FD5B8C">
      <w:pPr>
        <w:spacing w:before="100" w:beforeAutospacing="1" w:after="100" w:afterAutospacing="1" w:line="240" w:lineRule="auto"/>
        <w:jc w:val="both"/>
        <w:rPr>
          <w:rFonts w:asciiTheme="majorBidi" w:eastAsia="Times New Roman" w:hAnsiTheme="majorBidi" w:cstheme="majorBidi"/>
          <w:sz w:val="24"/>
          <w:szCs w:val="24"/>
          <w:lang w:val="en"/>
        </w:rPr>
      </w:pPr>
    </w:p>
    <w:p w:rsidR="00C25B98" w:rsidRPr="00C25B98" w:rsidRDefault="00C25B98" w:rsidP="00C25B98">
      <w:pPr>
        <w:spacing w:after="0" w:line="240" w:lineRule="auto"/>
        <w:rPr>
          <w:rFonts w:ascii="Times New Roman" w:eastAsia="Times New Roman" w:hAnsi="Times New Roman" w:cs="Times New Roman"/>
          <w:sz w:val="24"/>
          <w:szCs w:val="24"/>
        </w:rPr>
      </w:pPr>
      <w:r w:rsidRPr="00C25B98">
        <w:rPr>
          <w:rFonts w:ascii="Times New Roman" w:eastAsia="Times New Roman" w:hAnsi="Symbol" w:cs="Times New Roman"/>
          <w:sz w:val="24"/>
          <w:szCs w:val="24"/>
        </w:rPr>
        <w:t></w:t>
      </w:r>
      <w:r w:rsidRPr="00C25B98">
        <w:rPr>
          <w:rFonts w:ascii="Times New Roman" w:eastAsia="Times New Roman" w:hAnsi="Times New Roman" w:cs="Times New Roman"/>
          <w:sz w:val="24"/>
          <w:szCs w:val="24"/>
        </w:rPr>
        <w:t xml:space="preserve">  </w:t>
      </w:r>
      <w:r w:rsidRPr="00C25B98">
        <w:rPr>
          <w:rFonts w:ascii="Times New Roman" w:eastAsia="Times New Roman" w:hAnsi="Times New Roman" w:cs="Times New Roman"/>
          <w:b/>
          <w:bCs/>
          <w:sz w:val="24"/>
          <w:szCs w:val="24"/>
        </w:rPr>
        <w:t>Al-Hamed, M. H., Al-Mulla, M. R., &amp; Al-Amri, A. (2008).</w:t>
      </w:r>
      <w:r w:rsidRPr="00C25B98">
        <w:rPr>
          <w:rFonts w:ascii="Times New Roman" w:eastAsia="Times New Roman" w:hAnsi="Times New Roman" w:cs="Times New Roman"/>
          <w:sz w:val="24"/>
          <w:szCs w:val="24"/>
        </w:rPr>
        <w:t xml:space="preserve"> No evidence for an association between </w:t>
      </w:r>
      <w:r w:rsidRPr="00C25B98">
        <w:rPr>
          <w:rFonts w:ascii="Times New Roman" w:eastAsia="Times New Roman" w:hAnsi="Times New Roman" w:cs="Times New Roman"/>
          <w:i/>
          <w:iCs/>
          <w:sz w:val="24"/>
          <w:szCs w:val="24"/>
        </w:rPr>
        <w:t>DIP2B</w:t>
      </w:r>
      <w:r w:rsidRPr="00C25B98">
        <w:rPr>
          <w:rFonts w:ascii="Times New Roman" w:eastAsia="Times New Roman" w:hAnsi="Times New Roman" w:cs="Times New Roman"/>
          <w:sz w:val="24"/>
          <w:szCs w:val="24"/>
        </w:rPr>
        <w:t xml:space="preserve"> repeat expansion and neurological disease. </w:t>
      </w:r>
      <w:r w:rsidRPr="00C25B98">
        <w:rPr>
          <w:rFonts w:ascii="Times New Roman" w:eastAsia="Times New Roman" w:hAnsi="Times New Roman" w:cs="Times New Roman"/>
          <w:i/>
          <w:iCs/>
          <w:sz w:val="24"/>
          <w:szCs w:val="24"/>
        </w:rPr>
        <w:t>Movement Disorders, 23</w:t>
      </w:r>
      <w:r w:rsidRPr="00C25B98">
        <w:rPr>
          <w:rFonts w:ascii="Times New Roman" w:eastAsia="Times New Roman" w:hAnsi="Times New Roman" w:cs="Times New Roman"/>
          <w:sz w:val="24"/>
          <w:szCs w:val="24"/>
        </w:rPr>
        <w:t xml:space="preserve">(9), 1332–1334. </w:t>
      </w:r>
      <w:hyperlink r:id="rId6" w:tgtFrame="_blank" w:history="1">
        <w:r w:rsidRPr="00C25B98">
          <w:rPr>
            <w:rFonts w:ascii="Times New Roman" w:eastAsia="Times New Roman" w:hAnsi="Times New Roman" w:cs="Times New Roman"/>
            <w:color w:val="0000FF"/>
            <w:sz w:val="24"/>
            <w:szCs w:val="24"/>
            <w:u w:val="single"/>
          </w:rPr>
          <w:t>https://doi.org/10.1002/mds.22081</w:t>
        </w:r>
      </w:hyperlink>
      <w:r w:rsidRPr="00C25B98">
        <w:rPr>
          <w:rFonts w:ascii="Times New Roman" w:eastAsia="Times New Roman" w:hAnsi="Times New Roman" w:cs="Times New Roman"/>
          <w:sz w:val="24"/>
          <w:szCs w:val="24"/>
        </w:rPr>
        <w:t xml:space="preserve"> </w:t>
      </w:r>
    </w:p>
    <w:p w:rsidR="00C229A5" w:rsidRDefault="00C25B98" w:rsidP="00C25B98">
      <w:pPr>
        <w:jc w:val="both"/>
        <w:rPr>
          <w:rFonts w:ascii="Times New Roman" w:eastAsia="Times New Roman" w:hAnsi="Times New Roman" w:cs="Times New Roman"/>
          <w:sz w:val="24"/>
          <w:szCs w:val="24"/>
        </w:rPr>
      </w:pPr>
      <w:r w:rsidRPr="00C25B98">
        <w:rPr>
          <w:rFonts w:ascii="Times New Roman" w:eastAsia="Times New Roman" w:hAnsi="Symbol" w:cs="Times New Roman"/>
          <w:sz w:val="24"/>
          <w:szCs w:val="24"/>
        </w:rPr>
        <w:t></w:t>
      </w:r>
      <w:r w:rsidRPr="00C25B98">
        <w:rPr>
          <w:rFonts w:ascii="Times New Roman" w:eastAsia="Times New Roman" w:hAnsi="Times New Roman" w:cs="Times New Roman"/>
          <w:sz w:val="24"/>
          <w:szCs w:val="24"/>
        </w:rPr>
        <w:t xml:space="preserve">  </w:t>
      </w:r>
      <w:r w:rsidRPr="00C25B98">
        <w:rPr>
          <w:rFonts w:ascii="Times New Roman" w:eastAsia="Times New Roman" w:hAnsi="Times New Roman" w:cs="Times New Roman"/>
          <w:b/>
          <w:bCs/>
          <w:sz w:val="24"/>
          <w:szCs w:val="24"/>
        </w:rPr>
        <w:t>Smeets, H. J., &amp; Verkerk, A. J. (2007).</w:t>
      </w:r>
      <w:r w:rsidRPr="00C25B98">
        <w:rPr>
          <w:rFonts w:ascii="Times New Roman" w:eastAsia="Times New Roman" w:hAnsi="Times New Roman" w:cs="Times New Roman"/>
          <w:sz w:val="24"/>
          <w:szCs w:val="24"/>
        </w:rPr>
        <w:t xml:space="preserve"> Repeat expansions in neurological disorders: A review of current findings. </w:t>
      </w:r>
      <w:r w:rsidRPr="00C25B98">
        <w:rPr>
          <w:rFonts w:ascii="Times New Roman" w:eastAsia="Times New Roman" w:hAnsi="Times New Roman" w:cs="Times New Roman"/>
          <w:i/>
          <w:iCs/>
          <w:sz w:val="24"/>
          <w:szCs w:val="24"/>
        </w:rPr>
        <w:t>Current Opinion in Genetics &amp; Development, 17</w:t>
      </w:r>
      <w:r w:rsidRPr="00C25B98">
        <w:rPr>
          <w:rFonts w:ascii="Times New Roman" w:eastAsia="Times New Roman" w:hAnsi="Times New Roman" w:cs="Times New Roman"/>
          <w:sz w:val="24"/>
          <w:szCs w:val="24"/>
        </w:rPr>
        <w:t xml:space="preserve">(3), 226–231. </w:t>
      </w:r>
      <w:hyperlink r:id="rId7" w:tgtFrame="_blank" w:history="1">
        <w:r w:rsidRPr="00C25B98">
          <w:rPr>
            <w:rFonts w:ascii="Times New Roman" w:eastAsia="Times New Roman" w:hAnsi="Times New Roman" w:cs="Times New Roman"/>
            <w:color w:val="0000FF"/>
            <w:sz w:val="24"/>
            <w:szCs w:val="24"/>
            <w:u w:val="single"/>
          </w:rPr>
          <w:t>https://doi.org/10.1016/j.gde.2007.04.004</w:t>
        </w:r>
      </w:hyperlink>
    </w:p>
    <w:p w:rsidR="00C25B98" w:rsidRPr="00C25B98" w:rsidRDefault="00C25B98" w:rsidP="00C25B98">
      <w:pPr>
        <w:spacing w:after="0" w:line="240" w:lineRule="auto"/>
        <w:rPr>
          <w:rFonts w:ascii="Times New Roman" w:eastAsia="Times New Roman" w:hAnsi="Times New Roman" w:cs="Times New Roman"/>
          <w:sz w:val="24"/>
          <w:szCs w:val="24"/>
        </w:rPr>
      </w:pPr>
      <w:r w:rsidRPr="00C25B98">
        <w:rPr>
          <w:rFonts w:ascii="Times New Roman" w:eastAsia="Times New Roman" w:hAnsi="Symbol" w:cs="Times New Roman"/>
          <w:sz w:val="24"/>
          <w:szCs w:val="24"/>
        </w:rPr>
        <w:t></w:t>
      </w:r>
      <w:r w:rsidRPr="00C25B98">
        <w:rPr>
          <w:rFonts w:ascii="Times New Roman" w:eastAsia="Times New Roman" w:hAnsi="Times New Roman" w:cs="Times New Roman"/>
          <w:sz w:val="24"/>
          <w:szCs w:val="24"/>
        </w:rPr>
        <w:t xml:space="preserve">  </w:t>
      </w:r>
      <w:r w:rsidRPr="00C25B98">
        <w:rPr>
          <w:rFonts w:ascii="Times New Roman" w:eastAsia="Times New Roman" w:hAnsi="Times New Roman" w:cs="Times New Roman"/>
          <w:b/>
          <w:bCs/>
          <w:sz w:val="24"/>
          <w:szCs w:val="24"/>
        </w:rPr>
        <w:t>Goodwin, S., McPherson, J. D., &amp; McCombie, W. R. (2016).</w:t>
      </w:r>
      <w:r w:rsidRPr="00C25B98">
        <w:rPr>
          <w:rFonts w:ascii="Times New Roman" w:eastAsia="Times New Roman" w:hAnsi="Times New Roman" w:cs="Times New Roman"/>
          <w:sz w:val="24"/>
          <w:szCs w:val="24"/>
        </w:rPr>
        <w:t xml:space="preserve"> Coming of age: ten years of next-generation sequencing technologies. </w:t>
      </w:r>
      <w:r w:rsidRPr="00C25B98">
        <w:rPr>
          <w:rFonts w:ascii="Times New Roman" w:eastAsia="Times New Roman" w:hAnsi="Times New Roman" w:cs="Times New Roman"/>
          <w:i/>
          <w:iCs/>
          <w:sz w:val="24"/>
          <w:szCs w:val="24"/>
        </w:rPr>
        <w:t>Nature Reviews Genetics, 17</w:t>
      </w:r>
      <w:r w:rsidRPr="00C25B98">
        <w:rPr>
          <w:rFonts w:ascii="Times New Roman" w:eastAsia="Times New Roman" w:hAnsi="Times New Roman" w:cs="Times New Roman"/>
          <w:sz w:val="24"/>
          <w:szCs w:val="24"/>
        </w:rPr>
        <w:t xml:space="preserve">(6), 333–351. </w:t>
      </w:r>
      <w:hyperlink r:id="rId8" w:tgtFrame="_blank" w:history="1">
        <w:r w:rsidRPr="00C25B98">
          <w:rPr>
            <w:rFonts w:ascii="Times New Roman" w:eastAsia="Times New Roman" w:hAnsi="Times New Roman" w:cs="Times New Roman"/>
            <w:color w:val="0000FF"/>
            <w:sz w:val="24"/>
            <w:szCs w:val="24"/>
            <w:u w:val="single"/>
          </w:rPr>
          <w:t>https://doi.org/10.1038/nrg.2016.49</w:t>
        </w:r>
      </w:hyperlink>
      <w:r w:rsidRPr="00C25B98">
        <w:rPr>
          <w:rFonts w:ascii="Times New Roman" w:eastAsia="Times New Roman" w:hAnsi="Times New Roman" w:cs="Times New Roman"/>
          <w:sz w:val="24"/>
          <w:szCs w:val="24"/>
        </w:rPr>
        <w:t xml:space="preserve"> </w:t>
      </w:r>
    </w:p>
    <w:p w:rsidR="00C25B98" w:rsidRPr="00C25B98" w:rsidRDefault="00C25B98" w:rsidP="00C25B98">
      <w:pPr>
        <w:spacing w:after="0" w:line="240" w:lineRule="auto"/>
        <w:rPr>
          <w:rFonts w:ascii="Times New Roman" w:eastAsia="Times New Roman" w:hAnsi="Times New Roman" w:cs="Times New Roman"/>
          <w:sz w:val="24"/>
          <w:szCs w:val="24"/>
        </w:rPr>
      </w:pPr>
      <w:r w:rsidRPr="00C25B98">
        <w:rPr>
          <w:rFonts w:ascii="Times New Roman" w:eastAsia="Times New Roman" w:hAnsi="Symbol" w:cs="Times New Roman"/>
          <w:sz w:val="24"/>
          <w:szCs w:val="24"/>
        </w:rPr>
        <w:t></w:t>
      </w:r>
      <w:r w:rsidRPr="00C25B98">
        <w:rPr>
          <w:rFonts w:ascii="Times New Roman" w:eastAsia="Times New Roman" w:hAnsi="Times New Roman" w:cs="Times New Roman"/>
          <w:sz w:val="24"/>
          <w:szCs w:val="24"/>
        </w:rPr>
        <w:t xml:space="preserve">  </w:t>
      </w:r>
      <w:r w:rsidRPr="00C25B98">
        <w:rPr>
          <w:rFonts w:ascii="Times New Roman" w:eastAsia="Times New Roman" w:hAnsi="Times New Roman" w:cs="Times New Roman"/>
          <w:b/>
          <w:bCs/>
          <w:sz w:val="24"/>
          <w:szCs w:val="24"/>
        </w:rPr>
        <w:t>Treangen, T. J., &amp; Salzberg, S. L. (2013).</w:t>
      </w:r>
      <w:r w:rsidRPr="00C25B98">
        <w:rPr>
          <w:rFonts w:ascii="Times New Roman" w:eastAsia="Times New Roman" w:hAnsi="Times New Roman" w:cs="Times New Roman"/>
          <w:sz w:val="24"/>
          <w:szCs w:val="24"/>
        </w:rPr>
        <w:t xml:space="preserve"> Repetitive DNA and next-generation sequencing: Computational challenges and solutions. </w:t>
      </w:r>
      <w:r w:rsidRPr="00C25B98">
        <w:rPr>
          <w:rFonts w:ascii="Times New Roman" w:eastAsia="Times New Roman" w:hAnsi="Times New Roman" w:cs="Times New Roman"/>
          <w:i/>
          <w:iCs/>
          <w:sz w:val="24"/>
          <w:szCs w:val="24"/>
        </w:rPr>
        <w:t>Nature Reviews Genetics, 14</w:t>
      </w:r>
      <w:r w:rsidRPr="00C25B98">
        <w:rPr>
          <w:rFonts w:ascii="Times New Roman" w:eastAsia="Times New Roman" w:hAnsi="Times New Roman" w:cs="Times New Roman"/>
          <w:sz w:val="24"/>
          <w:szCs w:val="24"/>
        </w:rPr>
        <w:t xml:space="preserve">(1), 36–46. </w:t>
      </w:r>
      <w:hyperlink r:id="rId9" w:tgtFrame="_blank" w:history="1">
        <w:r w:rsidRPr="00C25B98">
          <w:rPr>
            <w:rFonts w:ascii="Times New Roman" w:eastAsia="Times New Roman" w:hAnsi="Times New Roman" w:cs="Times New Roman"/>
            <w:color w:val="0000FF"/>
            <w:sz w:val="24"/>
            <w:szCs w:val="24"/>
            <w:u w:val="single"/>
          </w:rPr>
          <w:t>https://doi.org/10.1038/nrg3376</w:t>
        </w:r>
      </w:hyperlink>
      <w:r w:rsidRPr="00C25B98">
        <w:rPr>
          <w:rFonts w:ascii="Times New Roman" w:eastAsia="Times New Roman" w:hAnsi="Times New Roman" w:cs="Times New Roman"/>
          <w:sz w:val="24"/>
          <w:szCs w:val="24"/>
        </w:rPr>
        <w:t xml:space="preserve"> </w:t>
      </w:r>
    </w:p>
    <w:p w:rsidR="00C25B98" w:rsidRDefault="00C25B98" w:rsidP="00C25B98">
      <w:pPr>
        <w:jc w:val="both"/>
        <w:rPr>
          <w:rFonts w:ascii="Times New Roman" w:eastAsia="Times New Roman" w:hAnsi="Times New Roman" w:cs="Times New Roman"/>
          <w:sz w:val="24"/>
          <w:szCs w:val="24"/>
        </w:rPr>
      </w:pPr>
      <w:r w:rsidRPr="00C25B98">
        <w:rPr>
          <w:rFonts w:ascii="Times New Roman" w:eastAsia="Times New Roman" w:hAnsi="Symbol" w:cs="Times New Roman"/>
          <w:sz w:val="24"/>
          <w:szCs w:val="24"/>
        </w:rPr>
        <w:t></w:t>
      </w:r>
      <w:r w:rsidRPr="00C25B98">
        <w:rPr>
          <w:rFonts w:ascii="Times New Roman" w:eastAsia="Times New Roman" w:hAnsi="Times New Roman" w:cs="Times New Roman"/>
          <w:sz w:val="24"/>
          <w:szCs w:val="24"/>
        </w:rPr>
        <w:t xml:space="preserve">  </w:t>
      </w:r>
      <w:r w:rsidRPr="00C25B98">
        <w:rPr>
          <w:rFonts w:ascii="Times New Roman" w:eastAsia="Times New Roman" w:hAnsi="Times New Roman" w:cs="Times New Roman"/>
          <w:b/>
          <w:bCs/>
          <w:sz w:val="24"/>
          <w:szCs w:val="24"/>
        </w:rPr>
        <w:t>Benjamini, Y., &amp; Speed, T. P. (2012).</w:t>
      </w:r>
      <w:r w:rsidRPr="00C25B98">
        <w:rPr>
          <w:rFonts w:ascii="Times New Roman" w:eastAsia="Times New Roman" w:hAnsi="Times New Roman" w:cs="Times New Roman"/>
          <w:sz w:val="24"/>
          <w:szCs w:val="24"/>
        </w:rPr>
        <w:t xml:space="preserve"> Summarizing and correcting the GC content bias in high-throughput sequencing. </w:t>
      </w:r>
      <w:r w:rsidRPr="00C25B98">
        <w:rPr>
          <w:rFonts w:ascii="Times New Roman" w:eastAsia="Times New Roman" w:hAnsi="Times New Roman" w:cs="Times New Roman"/>
          <w:i/>
          <w:iCs/>
          <w:sz w:val="24"/>
          <w:szCs w:val="24"/>
        </w:rPr>
        <w:t>Nucleic Acids Research, 40</w:t>
      </w:r>
      <w:r w:rsidRPr="00C25B98">
        <w:rPr>
          <w:rFonts w:ascii="Times New Roman" w:eastAsia="Times New Roman" w:hAnsi="Times New Roman" w:cs="Times New Roman"/>
          <w:sz w:val="24"/>
          <w:szCs w:val="24"/>
        </w:rPr>
        <w:t xml:space="preserve">(10), e72. </w:t>
      </w:r>
      <w:hyperlink r:id="rId10" w:tgtFrame="_blank" w:history="1">
        <w:r w:rsidRPr="00C25B98">
          <w:rPr>
            <w:rFonts w:ascii="Times New Roman" w:eastAsia="Times New Roman" w:hAnsi="Times New Roman" w:cs="Times New Roman"/>
            <w:color w:val="0000FF"/>
            <w:sz w:val="24"/>
            <w:szCs w:val="24"/>
            <w:u w:val="single"/>
          </w:rPr>
          <w:t>https://doi.org/10.1093/nar/gks001</w:t>
        </w:r>
      </w:hyperlink>
    </w:p>
    <w:p w:rsidR="00C25B98" w:rsidRPr="00C25B98" w:rsidRDefault="00C25B98" w:rsidP="00C25B98">
      <w:pPr>
        <w:spacing w:after="0" w:line="240" w:lineRule="auto"/>
        <w:rPr>
          <w:rFonts w:ascii="Times New Roman" w:eastAsia="Times New Roman" w:hAnsi="Times New Roman" w:cs="Times New Roman"/>
          <w:sz w:val="24"/>
          <w:szCs w:val="24"/>
        </w:rPr>
      </w:pPr>
      <w:r w:rsidRPr="00C25B98">
        <w:rPr>
          <w:rFonts w:ascii="Times New Roman" w:eastAsia="Times New Roman" w:hAnsi="Symbol" w:cs="Times New Roman"/>
          <w:sz w:val="24"/>
          <w:szCs w:val="24"/>
        </w:rPr>
        <w:t></w:t>
      </w:r>
      <w:r w:rsidRPr="00C25B98">
        <w:rPr>
          <w:rFonts w:ascii="Times New Roman" w:eastAsia="Times New Roman" w:hAnsi="Times New Roman" w:cs="Times New Roman"/>
          <w:sz w:val="24"/>
          <w:szCs w:val="24"/>
        </w:rPr>
        <w:t xml:space="preserve">  </w:t>
      </w:r>
      <w:r w:rsidRPr="00C25B98">
        <w:rPr>
          <w:rFonts w:ascii="Times New Roman" w:eastAsia="Times New Roman" w:hAnsi="Times New Roman" w:cs="Times New Roman"/>
          <w:b/>
          <w:bCs/>
          <w:sz w:val="24"/>
          <w:szCs w:val="24"/>
        </w:rPr>
        <w:t>Gore, A. C., Chahoud, I., Chung, K. M., Cooper, G. S., Nielsen, D. S., … &amp; Zoeller, R. T. (2015).</w:t>
      </w:r>
      <w:r w:rsidRPr="00C25B98">
        <w:rPr>
          <w:rFonts w:ascii="Times New Roman" w:eastAsia="Times New Roman" w:hAnsi="Times New Roman" w:cs="Times New Roman"/>
          <w:sz w:val="24"/>
          <w:szCs w:val="24"/>
        </w:rPr>
        <w:t xml:space="preserve"> EDC-2: The Endocrine Society’s second scientific statement on endocrine-disrupting chemicals. </w:t>
      </w:r>
      <w:r w:rsidRPr="00C25B98">
        <w:rPr>
          <w:rFonts w:ascii="Times New Roman" w:eastAsia="Times New Roman" w:hAnsi="Times New Roman" w:cs="Times New Roman"/>
          <w:i/>
          <w:iCs/>
          <w:sz w:val="24"/>
          <w:szCs w:val="24"/>
        </w:rPr>
        <w:t>Endocrine Reviews, 36</w:t>
      </w:r>
      <w:r w:rsidRPr="00C25B98">
        <w:rPr>
          <w:rFonts w:ascii="Times New Roman" w:eastAsia="Times New Roman" w:hAnsi="Times New Roman" w:cs="Times New Roman"/>
          <w:sz w:val="24"/>
          <w:szCs w:val="24"/>
        </w:rPr>
        <w:t xml:space="preserve">(6), E1–E150. </w:t>
      </w:r>
      <w:hyperlink r:id="rId11" w:tgtFrame="_blank" w:history="1">
        <w:r w:rsidRPr="00C25B98">
          <w:rPr>
            <w:rFonts w:ascii="Times New Roman" w:eastAsia="Times New Roman" w:hAnsi="Times New Roman" w:cs="Times New Roman"/>
            <w:color w:val="0000FF"/>
            <w:sz w:val="24"/>
            <w:szCs w:val="24"/>
            <w:u w:val="single"/>
          </w:rPr>
          <w:t>https://doi.org/10.1210/er.2015-1010</w:t>
        </w:r>
      </w:hyperlink>
      <w:r w:rsidRPr="00C25B98">
        <w:rPr>
          <w:rFonts w:ascii="Times New Roman" w:eastAsia="Times New Roman" w:hAnsi="Times New Roman" w:cs="Times New Roman"/>
          <w:sz w:val="24"/>
          <w:szCs w:val="24"/>
        </w:rPr>
        <w:t xml:space="preserve"> </w:t>
      </w:r>
    </w:p>
    <w:p w:rsidR="00C25B98" w:rsidRPr="00C25B98" w:rsidRDefault="00C25B98" w:rsidP="00C25B98">
      <w:pPr>
        <w:spacing w:after="0" w:line="240" w:lineRule="auto"/>
        <w:rPr>
          <w:rFonts w:ascii="Times New Roman" w:eastAsia="Times New Roman" w:hAnsi="Times New Roman" w:cs="Times New Roman"/>
          <w:sz w:val="24"/>
          <w:szCs w:val="24"/>
        </w:rPr>
      </w:pPr>
      <w:r w:rsidRPr="00C25B98">
        <w:rPr>
          <w:rFonts w:ascii="Times New Roman" w:eastAsia="Times New Roman" w:hAnsi="Symbol" w:cs="Times New Roman"/>
          <w:sz w:val="24"/>
          <w:szCs w:val="24"/>
        </w:rPr>
        <w:t></w:t>
      </w:r>
      <w:r w:rsidRPr="00C25B98">
        <w:rPr>
          <w:rFonts w:ascii="Times New Roman" w:eastAsia="Times New Roman" w:hAnsi="Times New Roman" w:cs="Times New Roman"/>
          <w:sz w:val="24"/>
          <w:szCs w:val="24"/>
        </w:rPr>
        <w:t xml:space="preserve">  </w:t>
      </w:r>
      <w:r w:rsidRPr="00C25B98">
        <w:rPr>
          <w:rFonts w:ascii="Times New Roman" w:eastAsia="Times New Roman" w:hAnsi="Times New Roman" w:cs="Times New Roman"/>
          <w:b/>
          <w:bCs/>
          <w:sz w:val="24"/>
          <w:szCs w:val="24"/>
        </w:rPr>
        <w:t>Feil, R., &amp; Fraga, M. F. (2012).</w:t>
      </w:r>
      <w:r w:rsidRPr="00C25B98">
        <w:rPr>
          <w:rFonts w:ascii="Times New Roman" w:eastAsia="Times New Roman" w:hAnsi="Times New Roman" w:cs="Times New Roman"/>
          <w:sz w:val="24"/>
          <w:szCs w:val="24"/>
        </w:rPr>
        <w:t xml:space="preserve"> Epigenetics and the environment: Emerging patterns and implications. </w:t>
      </w:r>
      <w:r w:rsidRPr="00C25B98">
        <w:rPr>
          <w:rFonts w:ascii="Times New Roman" w:eastAsia="Times New Roman" w:hAnsi="Times New Roman" w:cs="Times New Roman"/>
          <w:i/>
          <w:iCs/>
          <w:sz w:val="24"/>
          <w:szCs w:val="24"/>
        </w:rPr>
        <w:t>Nature Reviews Genetics, 13</w:t>
      </w:r>
      <w:r w:rsidRPr="00C25B98">
        <w:rPr>
          <w:rFonts w:ascii="Times New Roman" w:eastAsia="Times New Roman" w:hAnsi="Times New Roman" w:cs="Times New Roman"/>
          <w:sz w:val="24"/>
          <w:szCs w:val="24"/>
        </w:rPr>
        <w:t xml:space="preserve">(2), 97–109. </w:t>
      </w:r>
      <w:hyperlink r:id="rId12" w:tgtFrame="_blank" w:history="1">
        <w:r w:rsidRPr="00C25B98">
          <w:rPr>
            <w:rFonts w:ascii="Times New Roman" w:eastAsia="Times New Roman" w:hAnsi="Times New Roman" w:cs="Times New Roman"/>
            <w:color w:val="0000FF"/>
            <w:sz w:val="24"/>
            <w:szCs w:val="24"/>
            <w:u w:val="single"/>
          </w:rPr>
          <w:t>https://doi.org/10.1038/nrg3142</w:t>
        </w:r>
      </w:hyperlink>
      <w:r w:rsidRPr="00C25B98">
        <w:rPr>
          <w:rFonts w:ascii="Times New Roman" w:eastAsia="Times New Roman" w:hAnsi="Times New Roman" w:cs="Times New Roman"/>
          <w:sz w:val="24"/>
          <w:szCs w:val="24"/>
        </w:rPr>
        <w:t xml:space="preserve"> </w:t>
      </w:r>
    </w:p>
    <w:p w:rsidR="00C25B98" w:rsidRDefault="00C25B98" w:rsidP="00C25B98">
      <w:pPr>
        <w:jc w:val="both"/>
        <w:rPr>
          <w:rFonts w:ascii="Times New Roman" w:eastAsia="Times New Roman" w:hAnsi="Times New Roman" w:cs="Times New Roman"/>
          <w:sz w:val="24"/>
          <w:szCs w:val="24"/>
        </w:rPr>
      </w:pPr>
      <w:r w:rsidRPr="00C25B98">
        <w:rPr>
          <w:rFonts w:ascii="Times New Roman" w:eastAsia="Times New Roman" w:hAnsi="Symbol" w:cs="Times New Roman"/>
          <w:sz w:val="24"/>
          <w:szCs w:val="24"/>
        </w:rPr>
        <w:t></w:t>
      </w:r>
      <w:r w:rsidRPr="00C25B98">
        <w:rPr>
          <w:rFonts w:ascii="Times New Roman" w:eastAsia="Times New Roman" w:hAnsi="Times New Roman" w:cs="Times New Roman"/>
          <w:sz w:val="24"/>
          <w:szCs w:val="24"/>
        </w:rPr>
        <w:t xml:space="preserve">  </w:t>
      </w:r>
      <w:r w:rsidRPr="00C25B98">
        <w:rPr>
          <w:rFonts w:ascii="Times New Roman" w:eastAsia="Times New Roman" w:hAnsi="Times New Roman" w:cs="Times New Roman"/>
          <w:b/>
          <w:bCs/>
          <w:sz w:val="24"/>
          <w:szCs w:val="24"/>
        </w:rPr>
        <w:t>Dolinoy, D. C. (2008).</w:t>
      </w:r>
      <w:r w:rsidRPr="00C25B98">
        <w:rPr>
          <w:rFonts w:ascii="Times New Roman" w:eastAsia="Times New Roman" w:hAnsi="Times New Roman" w:cs="Times New Roman"/>
          <w:sz w:val="24"/>
          <w:szCs w:val="24"/>
        </w:rPr>
        <w:t xml:space="preserve"> The agouti mouse model: An epigenetic biosensor for nutritional and environmental alterations on fetal programming. </w:t>
      </w:r>
      <w:r w:rsidRPr="00C25B98">
        <w:rPr>
          <w:rFonts w:ascii="Times New Roman" w:eastAsia="Times New Roman" w:hAnsi="Times New Roman" w:cs="Times New Roman"/>
          <w:i/>
          <w:iCs/>
          <w:sz w:val="24"/>
          <w:szCs w:val="24"/>
        </w:rPr>
        <w:t>Nutrition Reviews, 66</w:t>
      </w:r>
      <w:r w:rsidRPr="00C25B98">
        <w:rPr>
          <w:rFonts w:ascii="Times New Roman" w:eastAsia="Times New Roman" w:hAnsi="Times New Roman" w:cs="Times New Roman"/>
          <w:sz w:val="24"/>
          <w:szCs w:val="24"/>
        </w:rPr>
        <w:t xml:space="preserve">(Suppl 1), S7–S11. </w:t>
      </w:r>
      <w:hyperlink r:id="rId13" w:tgtFrame="_blank" w:history="1">
        <w:r w:rsidRPr="00C25B98">
          <w:rPr>
            <w:rFonts w:ascii="Times New Roman" w:eastAsia="Times New Roman" w:hAnsi="Times New Roman" w:cs="Times New Roman"/>
            <w:color w:val="0000FF"/>
            <w:sz w:val="24"/>
            <w:szCs w:val="24"/>
            <w:u w:val="single"/>
          </w:rPr>
          <w:t>https://doi.org/10.1111/j.1753-4887.2008.00049.x</w:t>
        </w:r>
      </w:hyperlink>
    </w:p>
    <w:p w:rsidR="00C25B98" w:rsidRDefault="00C25B98" w:rsidP="00C25B98">
      <w:pPr>
        <w:jc w:val="both"/>
      </w:pPr>
      <w:r>
        <w:rPr>
          <w:rStyle w:val="Strong"/>
        </w:rPr>
        <w:t>Sedlazeck, F. J., Lee, H., Darby, C. A., &amp; Schatz, M. C. (2018).</w:t>
      </w:r>
      <w:r>
        <w:t xml:space="preserve"> Piercing the dark matter: Bioinformatics of long-read sequencing data. </w:t>
      </w:r>
      <w:r>
        <w:rPr>
          <w:rStyle w:val="Emphasis"/>
        </w:rPr>
        <w:t>Trends in Genetics, 34</w:t>
      </w:r>
      <w:r>
        <w:t xml:space="preserve">(8), 614–625. </w:t>
      </w:r>
      <w:hyperlink r:id="rId14" w:tgtFrame="_blank" w:history="1">
        <w:r>
          <w:rPr>
            <w:rStyle w:val="Hyperlink"/>
          </w:rPr>
          <w:t>https://doi.org/10.1016/j.tig.2018.05.004</w:t>
        </w:r>
      </w:hyperlink>
    </w:p>
    <w:p w:rsidR="00C25B98" w:rsidRDefault="00C25B98" w:rsidP="00C25B98">
      <w:pPr>
        <w:spacing w:before="100" w:beforeAutospacing="1" w:after="100" w:afterAutospacing="1" w:line="240" w:lineRule="auto"/>
        <w:rPr>
          <w:rFonts w:ascii="Times New Roman" w:eastAsia="Times New Roman" w:hAnsi="Times New Roman" w:cs="Times New Roman"/>
          <w:sz w:val="24"/>
          <w:szCs w:val="24"/>
          <w:lang w:val="en"/>
        </w:rPr>
      </w:pPr>
      <w:r w:rsidRPr="00C25B98">
        <w:rPr>
          <w:rFonts w:ascii="Times New Roman" w:eastAsia="Times New Roman" w:hAnsi="Times New Roman" w:cs="Times New Roman"/>
          <w:b/>
          <w:bCs/>
          <w:sz w:val="24"/>
          <w:szCs w:val="24"/>
          <w:lang w:val="en"/>
        </w:rPr>
        <w:t>Chaisson, M. J., et al. (2019).</w:t>
      </w:r>
      <w:r w:rsidRPr="00C25B98">
        <w:rPr>
          <w:rFonts w:ascii="Times New Roman" w:eastAsia="Times New Roman" w:hAnsi="Times New Roman" w:cs="Times New Roman"/>
          <w:sz w:val="24"/>
          <w:szCs w:val="24"/>
          <w:lang w:val="en"/>
        </w:rPr>
        <w:t xml:space="preserve"> Multi-platform discovery of haplotype-resolved structural variation in human genomes. </w:t>
      </w:r>
      <w:r w:rsidRPr="00C25B98">
        <w:rPr>
          <w:rFonts w:ascii="Times New Roman" w:eastAsia="Times New Roman" w:hAnsi="Times New Roman" w:cs="Times New Roman"/>
          <w:i/>
          <w:iCs/>
          <w:sz w:val="24"/>
          <w:szCs w:val="24"/>
          <w:lang w:val="en"/>
        </w:rPr>
        <w:t>Nature Communications, 10</w:t>
      </w:r>
      <w:r w:rsidRPr="00C25B98">
        <w:rPr>
          <w:rFonts w:ascii="Times New Roman" w:eastAsia="Times New Roman" w:hAnsi="Times New Roman" w:cs="Times New Roman"/>
          <w:sz w:val="24"/>
          <w:szCs w:val="24"/>
          <w:lang w:val="en"/>
        </w:rPr>
        <w:t xml:space="preserve">, 1784. </w:t>
      </w:r>
      <w:hyperlink r:id="rId15" w:tgtFrame="_blank" w:history="1">
        <w:r w:rsidRPr="00C25B98">
          <w:rPr>
            <w:rFonts w:ascii="Times New Roman" w:eastAsia="Times New Roman" w:hAnsi="Times New Roman" w:cs="Times New Roman"/>
            <w:color w:val="0000FF"/>
            <w:sz w:val="24"/>
            <w:szCs w:val="24"/>
            <w:u w:val="single"/>
            <w:lang w:val="en"/>
          </w:rPr>
          <w:t>https://doi.org/10.1038/s41467-019-09139-4</w:t>
        </w:r>
      </w:hyperlink>
    </w:p>
    <w:p w:rsidR="00C25B98" w:rsidRDefault="00C25B98" w:rsidP="00C25B98">
      <w:pPr>
        <w:spacing w:before="100" w:beforeAutospacing="1" w:after="100" w:afterAutospacing="1" w:line="240" w:lineRule="auto"/>
      </w:pPr>
      <w:r>
        <w:rPr>
          <w:rStyle w:val="Strong"/>
        </w:rPr>
        <w:t>Meaney, M. J., &amp; Szyf, M. (2005).</w:t>
      </w:r>
      <w:r>
        <w:t xml:space="preserve"> Environmental programming of gene expression through epigenetic inheritance. </w:t>
      </w:r>
      <w:r>
        <w:rPr>
          <w:rStyle w:val="Emphasis"/>
        </w:rPr>
        <w:t>Dialogues in Clinical Neuroscience, 7</w:t>
      </w:r>
      <w:r>
        <w:t xml:space="preserve">(4), 319–331. </w:t>
      </w:r>
      <w:hyperlink r:id="rId16" w:tgtFrame="_blank" w:history="1">
        <w:r>
          <w:rPr>
            <w:rStyle w:val="Hyperlink"/>
          </w:rPr>
          <w:t>https://doi.org/10.31887/DCNS.2005.7.4/mmeaney</w:t>
        </w:r>
      </w:hyperlink>
    </w:p>
    <w:p w:rsidR="00C25B98" w:rsidRPr="00C25B98" w:rsidRDefault="00C25B98" w:rsidP="00C25B98">
      <w:pPr>
        <w:spacing w:before="100" w:beforeAutospacing="1" w:after="100" w:afterAutospacing="1" w:line="240" w:lineRule="auto"/>
        <w:rPr>
          <w:rFonts w:ascii="Times New Roman" w:eastAsia="Times New Roman" w:hAnsi="Times New Roman" w:cs="Times New Roman"/>
          <w:sz w:val="24"/>
          <w:szCs w:val="24"/>
          <w:rtl/>
          <w:lang w:val="en"/>
        </w:rPr>
      </w:pPr>
      <w:r w:rsidRPr="00C25B98">
        <w:rPr>
          <w:rFonts w:ascii="Times New Roman" w:eastAsia="Times New Roman" w:hAnsi="Times New Roman" w:cs="Times New Roman"/>
          <w:b/>
          <w:bCs/>
          <w:sz w:val="24"/>
          <w:szCs w:val="24"/>
          <w:lang w:val="en"/>
        </w:rPr>
        <w:t>Jirtle, R. L., &amp; Skinner, M. K. (2007).</w:t>
      </w:r>
      <w:r w:rsidRPr="00C25B98">
        <w:rPr>
          <w:rFonts w:ascii="Times New Roman" w:eastAsia="Times New Roman" w:hAnsi="Times New Roman" w:cs="Times New Roman"/>
          <w:sz w:val="24"/>
          <w:szCs w:val="24"/>
          <w:lang w:val="en"/>
        </w:rPr>
        <w:t xml:space="preserve"> Environmental epigenomics and disease susceptibility. </w:t>
      </w:r>
      <w:r w:rsidRPr="00C25B98">
        <w:rPr>
          <w:rFonts w:ascii="Times New Roman" w:eastAsia="Times New Roman" w:hAnsi="Times New Roman" w:cs="Times New Roman"/>
          <w:i/>
          <w:iCs/>
          <w:sz w:val="24"/>
          <w:szCs w:val="24"/>
          <w:lang w:val="en"/>
        </w:rPr>
        <w:t>Nature Reviews Genetics, 8</w:t>
      </w:r>
      <w:r w:rsidRPr="00C25B98">
        <w:rPr>
          <w:rFonts w:ascii="Times New Roman" w:eastAsia="Times New Roman" w:hAnsi="Times New Roman" w:cs="Times New Roman"/>
          <w:sz w:val="24"/>
          <w:szCs w:val="24"/>
          <w:lang w:val="en"/>
        </w:rPr>
        <w:t xml:space="preserve">(4), 253–262. </w:t>
      </w:r>
      <w:hyperlink r:id="rId17" w:tgtFrame="_blank" w:history="1">
        <w:r w:rsidRPr="00C25B98">
          <w:rPr>
            <w:rFonts w:ascii="Times New Roman" w:eastAsia="Times New Roman" w:hAnsi="Times New Roman" w:cs="Times New Roman"/>
            <w:color w:val="0000FF"/>
            <w:sz w:val="24"/>
            <w:szCs w:val="24"/>
            <w:u w:val="single"/>
            <w:lang w:val="en"/>
          </w:rPr>
          <w:t>https://doi.org/10.1038/nrg2045</w:t>
        </w:r>
      </w:hyperlink>
    </w:p>
    <w:p w:rsidR="00C25B98" w:rsidRPr="00C25B98" w:rsidRDefault="00C25B98" w:rsidP="00C25B98">
      <w:pPr>
        <w:spacing w:before="100" w:beforeAutospacing="1" w:after="100" w:afterAutospacing="1" w:line="240" w:lineRule="auto"/>
        <w:rPr>
          <w:rFonts w:ascii="Times New Roman" w:eastAsia="Times New Roman" w:hAnsi="Times New Roman" w:cs="Times New Roman"/>
          <w:sz w:val="24"/>
          <w:szCs w:val="24"/>
          <w:rtl/>
          <w:lang w:val="en"/>
        </w:rPr>
      </w:pPr>
    </w:p>
    <w:p w:rsidR="00C25B98" w:rsidRPr="00FD5B8C" w:rsidRDefault="00C25B98" w:rsidP="00C25B98">
      <w:pPr>
        <w:jc w:val="both"/>
        <w:rPr>
          <w:rFonts w:asciiTheme="majorBidi" w:hAnsiTheme="majorBidi" w:cstheme="majorBidi"/>
          <w:sz w:val="24"/>
          <w:szCs w:val="24"/>
        </w:rPr>
      </w:pPr>
    </w:p>
    <w:sectPr w:rsidR="00C25B98" w:rsidRPr="00FD5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B44A0"/>
    <w:multiLevelType w:val="multilevel"/>
    <w:tmpl w:val="E100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A0942"/>
    <w:multiLevelType w:val="multilevel"/>
    <w:tmpl w:val="DA10324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463E2F"/>
    <w:multiLevelType w:val="multilevel"/>
    <w:tmpl w:val="BC9C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230343"/>
    <w:multiLevelType w:val="multilevel"/>
    <w:tmpl w:val="ACA006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7F72EA1"/>
    <w:multiLevelType w:val="multilevel"/>
    <w:tmpl w:val="3D80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789"/>
    <w:rsid w:val="001C5789"/>
    <w:rsid w:val="002830C1"/>
    <w:rsid w:val="00336BD3"/>
    <w:rsid w:val="00435D4A"/>
    <w:rsid w:val="00495545"/>
    <w:rsid w:val="006B5777"/>
    <w:rsid w:val="00767C83"/>
    <w:rsid w:val="007F692E"/>
    <w:rsid w:val="00C229A5"/>
    <w:rsid w:val="00C25B98"/>
    <w:rsid w:val="00FD5B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A06922-4999-4161-8A2D-63068F675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F69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692E"/>
    <w:rPr>
      <w:rFonts w:ascii="Times New Roman" w:eastAsia="Times New Roman" w:hAnsi="Times New Roman" w:cs="Times New Roman"/>
      <w:b/>
      <w:bCs/>
      <w:sz w:val="27"/>
      <w:szCs w:val="27"/>
    </w:rPr>
  </w:style>
  <w:style w:type="paragraph" w:styleId="NormalWeb">
    <w:name w:val="Normal (Web)"/>
    <w:basedOn w:val="Normal"/>
    <w:uiPriority w:val="99"/>
    <w:unhideWhenUsed/>
    <w:rsid w:val="007F692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F692E"/>
    <w:rPr>
      <w:i/>
      <w:iCs/>
    </w:rPr>
  </w:style>
  <w:style w:type="character" w:styleId="Strong">
    <w:name w:val="Strong"/>
    <w:basedOn w:val="DefaultParagraphFont"/>
    <w:uiPriority w:val="22"/>
    <w:qFormat/>
    <w:rsid w:val="007F692E"/>
    <w:rPr>
      <w:b/>
      <w:bCs/>
    </w:rPr>
  </w:style>
  <w:style w:type="character" w:styleId="Hyperlink">
    <w:name w:val="Hyperlink"/>
    <w:basedOn w:val="DefaultParagraphFont"/>
    <w:uiPriority w:val="99"/>
    <w:semiHidden/>
    <w:unhideWhenUsed/>
    <w:rsid w:val="00C25B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39209">
      <w:bodyDiv w:val="1"/>
      <w:marLeft w:val="0"/>
      <w:marRight w:val="0"/>
      <w:marTop w:val="0"/>
      <w:marBottom w:val="0"/>
      <w:divBdr>
        <w:top w:val="none" w:sz="0" w:space="0" w:color="auto"/>
        <w:left w:val="none" w:sz="0" w:space="0" w:color="auto"/>
        <w:bottom w:val="none" w:sz="0" w:space="0" w:color="auto"/>
        <w:right w:val="none" w:sz="0" w:space="0" w:color="auto"/>
      </w:divBdr>
    </w:div>
    <w:div w:id="373162767">
      <w:bodyDiv w:val="1"/>
      <w:marLeft w:val="0"/>
      <w:marRight w:val="0"/>
      <w:marTop w:val="0"/>
      <w:marBottom w:val="0"/>
      <w:divBdr>
        <w:top w:val="none" w:sz="0" w:space="0" w:color="auto"/>
        <w:left w:val="none" w:sz="0" w:space="0" w:color="auto"/>
        <w:bottom w:val="none" w:sz="0" w:space="0" w:color="auto"/>
        <w:right w:val="none" w:sz="0" w:space="0" w:color="auto"/>
      </w:divBdr>
    </w:div>
    <w:div w:id="496381665">
      <w:bodyDiv w:val="1"/>
      <w:marLeft w:val="0"/>
      <w:marRight w:val="0"/>
      <w:marTop w:val="0"/>
      <w:marBottom w:val="0"/>
      <w:divBdr>
        <w:top w:val="none" w:sz="0" w:space="0" w:color="auto"/>
        <w:left w:val="none" w:sz="0" w:space="0" w:color="auto"/>
        <w:bottom w:val="none" w:sz="0" w:space="0" w:color="auto"/>
        <w:right w:val="none" w:sz="0" w:space="0" w:color="auto"/>
      </w:divBdr>
    </w:div>
    <w:div w:id="578443853">
      <w:bodyDiv w:val="1"/>
      <w:marLeft w:val="0"/>
      <w:marRight w:val="0"/>
      <w:marTop w:val="0"/>
      <w:marBottom w:val="0"/>
      <w:divBdr>
        <w:top w:val="none" w:sz="0" w:space="0" w:color="auto"/>
        <w:left w:val="none" w:sz="0" w:space="0" w:color="auto"/>
        <w:bottom w:val="none" w:sz="0" w:space="0" w:color="auto"/>
        <w:right w:val="none" w:sz="0" w:space="0" w:color="auto"/>
      </w:divBdr>
    </w:div>
    <w:div w:id="588002218">
      <w:bodyDiv w:val="1"/>
      <w:marLeft w:val="0"/>
      <w:marRight w:val="0"/>
      <w:marTop w:val="0"/>
      <w:marBottom w:val="0"/>
      <w:divBdr>
        <w:top w:val="none" w:sz="0" w:space="0" w:color="auto"/>
        <w:left w:val="none" w:sz="0" w:space="0" w:color="auto"/>
        <w:bottom w:val="none" w:sz="0" w:space="0" w:color="auto"/>
        <w:right w:val="none" w:sz="0" w:space="0" w:color="auto"/>
      </w:divBdr>
    </w:div>
    <w:div w:id="755173163">
      <w:bodyDiv w:val="1"/>
      <w:marLeft w:val="0"/>
      <w:marRight w:val="0"/>
      <w:marTop w:val="0"/>
      <w:marBottom w:val="0"/>
      <w:divBdr>
        <w:top w:val="none" w:sz="0" w:space="0" w:color="auto"/>
        <w:left w:val="none" w:sz="0" w:space="0" w:color="auto"/>
        <w:bottom w:val="none" w:sz="0" w:space="0" w:color="auto"/>
        <w:right w:val="none" w:sz="0" w:space="0" w:color="auto"/>
      </w:divBdr>
    </w:div>
    <w:div w:id="797573274">
      <w:bodyDiv w:val="1"/>
      <w:marLeft w:val="0"/>
      <w:marRight w:val="0"/>
      <w:marTop w:val="0"/>
      <w:marBottom w:val="0"/>
      <w:divBdr>
        <w:top w:val="none" w:sz="0" w:space="0" w:color="auto"/>
        <w:left w:val="none" w:sz="0" w:space="0" w:color="auto"/>
        <w:bottom w:val="none" w:sz="0" w:space="0" w:color="auto"/>
        <w:right w:val="none" w:sz="0" w:space="0" w:color="auto"/>
      </w:divBdr>
    </w:div>
    <w:div w:id="1108811149">
      <w:bodyDiv w:val="1"/>
      <w:marLeft w:val="0"/>
      <w:marRight w:val="0"/>
      <w:marTop w:val="0"/>
      <w:marBottom w:val="0"/>
      <w:divBdr>
        <w:top w:val="none" w:sz="0" w:space="0" w:color="auto"/>
        <w:left w:val="none" w:sz="0" w:space="0" w:color="auto"/>
        <w:bottom w:val="none" w:sz="0" w:space="0" w:color="auto"/>
        <w:right w:val="none" w:sz="0" w:space="0" w:color="auto"/>
      </w:divBdr>
      <w:divsChild>
        <w:div w:id="254673561">
          <w:marLeft w:val="0"/>
          <w:marRight w:val="0"/>
          <w:marTop w:val="0"/>
          <w:marBottom w:val="0"/>
          <w:divBdr>
            <w:top w:val="none" w:sz="0" w:space="0" w:color="auto"/>
            <w:left w:val="none" w:sz="0" w:space="0" w:color="auto"/>
            <w:bottom w:val="none" w:sz="0" w:space="0" w:color="auto"/>
            <w:right w:val="none" w:sz="0" w:space="0" w:color="auto"/>
          </w:divBdr>
          <w:divsChild>
            <w:div w:id="200500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7085">
      <w:bodyDiv w:val="1"/>
      <w:marLeft w:val="0"/>
      <w:marRight w:val="0"/>
      <w:marTop w:val="0"/>
      <w:marBottom w:val="0"/>
      <w:divBdr>
        <w:top w:val="none" w:sz="0" w:space="0" w:color="auto"/>
        <w:left w:val="none" w:sz="0" w:space="0" w:color="auto"/>
        <w:bottom w:val="none" w:sz="0" w:space="0" w:color="auto"/>
        <w:right w:val="none" w:sz="0" w:space="0" w:color="auto"/>
      </w:divBdr>
    </w:div>
    <w:div w:id="1292981267">
      <w:bodyDiv w:val="1"/>
      <w:marLeft w:val="0"/>
      <w:marRight w:val="0"/>
      <w:marTop w:val="0"/>
      <w:marBottom w:val="0"/>
      <w:divBdr>
        <w:top w:val="none" w:sz="0" w:space="0" w:color="auto"/>
        <w:left w:val="none" w:sz="0" w:space="0" w:color="auto"/>
        <w:bottom w:val="none" w:sz="0" w:space="0" w:color="auto"/>
        <w:right w:val="none" w:sz="0" w:space="0" w:color="auto"/>
      </w:divBdr>
    </w:div>
    <w:div w:id="1369068047">
      <w:bodyDiv w:val="1"/>
      <w:marLeft w:val="0"/>
      <w:marRight w:val="0"/>
      <w:marTop w:val="0"/>
      <w:marBottom w:val="0"/>
      <w:divBdr>
        <w:top w:val="none" w:sz="0" w:space="0" w:color="auto"/>
        <w:left w:val="none" w:sz="0" w:space="0" w:color="auto"/>
        <w:bottom w:val="none" w:sz="0" w:space="0" w:color="auto"/>
        <w:right w:val="none" w:sz="0" w:space="0" w:color="auto"/>
      </w:divBdr>
    </w:div>
    <w:div w:id="1393885450">
      <w:bodyDiv w:val="1"/>
      <w:marLeft w:val="0"/>
      <w:marRight w:val="0"/>
      <w:marTop w:val="0"/>
      <w:marBottom w:val="0"/>
      <w:divBdr>
        <w:top w:val="none" w:sz="0" w:space="0" w:color="auto"/>
        <w:left w:val="none" w:sz="0" w:space="0" w:color="auto"/>
        <w:bottom w:val="none" w:sz="0" w:space="0" w:color="auto"/>
        <w:right w:val="none" w:sz="0" w:space="0" w:color="auto"/>
      </w:divBdr>
    </w:div>
    <w:div w:id="1575312225">
      <w:bodyDiv w:val="1"/>
      <w:marLeft w:val="0"/>
      <w:marRight w:val="0"/>
      <w:marTop w:val="0"/>
      <w:marBottom w:val="0"/>
      <w:divBdr>
        <w:top w:val="none" w:sz="0" w:space="0" w:color="auto"/>
        <w:left w:val="none" w:sz="0" w:space="0" w:color="auto"/>
        <w:bottom w:val="none" w:sz="0" w:space="0" w:color="auto"/>
        <w:right w:val="none" w:sz="0" w:space="0" w:color="auto"/>
      </w:divBdr>
    </w:div>
    <w:div w:id="1589575685">
      <w:bodyDiv w:val="1"/>
      <w:marLeft w:val="0"/>
      <w:marRight w:val="0"/>
      <w:marTop w:val="0"/>
      <w:marBottom w:val="0"/>
      <w:divBdr>
        <w:top w:val="none" w:sz="0" w:space="0" w:color="auto"/>
        <w:left w:val="none" w:sz="0" w:space="0" w:color="auto"/>
        <w:bottom w:val="none" w:sz="0" w:space="0" w:color="auto"/>
        <w:right w:val="none" w:sz="0" w:space="0" w:color="auto"/>
      </w:divBdr>
    </w:div>
    <w:div w:id="1614290967">
      <w:bodyDiv w:val="1"/>
      <w:marLeft w:val="0"/>
      <w:marRight w:val="0"/>
      <w:marTop w:val="0"/>
      <w:marBottom w:val="0"/>
      <w:divBdr>
        <w:top w:val="none" w:sz="0" w:space="0" w:color="auto"/>
        <w:left w:val="none" w:sz="0" w:space="0" w:color="auto"/>
        <w:bottom w:val="none" w:sz="0" w:space="0" w:color="auto"/>
        <w:right w:val="none" w:sz="0" w:space="0" w:color="auto"/>
      </w:divBdr>
    </w:div>
    <w:div w:id="1674801228">
      <w:bodyDiv w:val="1"/>
      <w:marLeft w:val="0"/>
      <w:marRight w:val="0"/>
      <w:marTop w:val="0"/>
      <w:marBottom w:val="0"/>
      <w:divBdr>
        <w:top w:val="none" w:sz="0" w:space="0" w:color="auto"/>
        <w:left w:val="none" w:sz="0" w:space="0" w:color="auto"/>
        <w:bottom w:val="none" w:sz="0" w:space="0" w:color="auto"/>
        <w:right w:val="none" w:sz="0" w:space="0" w:color="auto"/>
      </w:divBdr>
    </w:div>
    <w:div w:id="1745224373">
      <w:bodyDiv w:val="1"/>
      <w:marLeft w:val="0"/>
      <w:marRight w:val="0"/>
      <w:marTop w:val="0"/>
      <w:marBottom w:val="0"/>
      <w:divBdr>
        <w:top w:val="none" w:sz="0" w:space="0" w:color="auto"/>
        <w:left w:val="none" w:sz="0" w:space="0" w:color="auto"/>
        <w:bottom w:val="none" w:sz="0" w:space="0" w:color="auto"/>
        <w:right w:val="none" w:sz="0" w:space="0" w:color="auto"/>
      </w:divBdr>
    </w:div>
    <w:div w:id="1768576988">
      <w:bodyDiv w:val="1"/>
      <w:marLeft w:val="0"/>
      <w:marRight w:val="0"/>
      <w:marTop w:val="0"/>
      <w:marBottom w:val="0"/>
      <w:divBdr>
        <w:top w:val="none" w:sz="0" w:space="0" w:color="auto"/>
        <w:left w:val="none" w:sz="0" w:space="0" w:color="auto"/>
        <w:bottom w:val="none" w:sz="0" w:space="0" w:color="auto"/>
        <w:right w:val="none" w:sz="0" w:space="0" w:color="auto"/>
      </w:divBdr>
    </w:div>
    <w:div w:id="1945845570">
      <w:bodyDiv w:val="1"/>
      <w:marLeft w:val="0"/>
      <w:marRight w:val="0"/>
      <w:marTop w:val="0"/>
      <w:marBottom w:val="0"/>
      <w:divBdr>
        <w:top w:val="none" w:sz="0" w:space="0" w:color="auto"/>
        <w:left w:val="none" w:sz="0" w:space="0" w:color="auto"/>
        <w:bottom w:val="none" w:sz="0" w:space="0" w:color="auto"/>
        <w:right w:val="none" w:sz="0" w:space="0" w:color="auto"/>
      </w:divBdr>
    </w:div>
    <w:div w:id="2144108014">
      <w:bodyDiv w:val="1"/>
      <w:marLeft w:val="0"/>
      <w:marRight w:val="0"/>
      <w:marTop w:val="0"/>
      <w:marBottom w:val="0"/>
      <w:divBdr>
        <w:top w:val="none" w:sz="0" w:space="0" w:color="auto"/>
        <w:left w:val="none" w:sz="0" w:space="0" w:color="auto"/>
        <w:bottom w:val="none" w:sz="0" w:space="0" w:color="auto"/>
        <w:right w:val="none" w:sz="0" w:space="0" w:color="auto"/>
      </w:divBdr>
      <w:divsChild>
        <w:div w:id="2079748741">
          <w:marLeft w:val="0"/>
          <w:marRight w:val="0"/>
          <w:marTop w:val="0"/>
          <w:marBottom w:val="0"/>
          <w:divBdr>
            <w:top w:val="none" w:sz="0" w:space="0" w:color="auto"/>
            <w:left w:val="none" w:sz="0" w:space="0" w:color="auto"/>
            <w:bottom w:val="none" w:sz="0" w:space="0" w:color="auto"/>
            <w:right w:val="none" w:sz="0" w:space="0" w:color="auto"/>
          </w:divBdr>
          <w:divsChild>
            <w:div w:id="20541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nrg.2016.49" TargetMode="External"/><Relationship Id="rId13" Type="http://schemas.openxmlformats.org/officeDocument/2006/relationships/hyperlink" Target="https://doi.org/10.1111/j.1753-4887.2008.00049.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gde.2007.04.004" TargetMode="External"/><Relationship Id="rId12" Type="http://schemas.openxmlformats.org/officeDocument/2006/relationships/hyperlink" Target="https://doi.org/10.1038/nrg3142" TargetMode="External"/><Relationship Id="rId17" Type="http://schemas.openxmlformats.org/officeDocument/2006/relationships/hyperlink" Target="https://doi.org/10.1038/nrg2045" TargetMode="External"/><Relationship Id="rId2" Type="http://schemas.openxmlformats.org/officeDocument/2006/relationships/styles" Target="styles.xml"/><Relationship Id="rId16" Type="http://schemas.openxmlformats.org/officeDocument/2006/relationships/hyperlink" Target="https://doi.org/10.31887/DCNS.2005.7.4/mmeaney" TargetMode="External"/><Relationship Id="rId1" Type="http://schemas.openxmlformats.org/officeDocument/2006/relationships/numbering" Target="numbering.xml"/><Relationship Id="rId6" Type="http://schemas.openxmlformats.org/officeDocument/2006/relationships/hyperlink" Target="https://doi.org/10.1002/mds.22081" TargetMode="External"/><Relationship Id="rId11" Type="http://schemas.openxmlformats.org/officeDocument/2006/relationships/hyperlink" Target="https://doi.org/10.1210/er.2015-1010" TargetMode="External"/><Relationship Id="rId5" Type="http://schemas.openxmlformats.org/officeDocument/2006/relationships/image" Target="media/image1.png"/><Relationship Id="rId15" Type="http://schemas.openxmlformats.org/officeDocument/2006/relationships/hyperlink" Target="https://doi.org/10.1038/s41467-019-09139-4" TargetMode="External"/><Relationship Id="rId10" Type="http://schemas.openxmlformats.org/officeDocument/2006/relationships/hyperlink" Target="https://doi.org/10.1093/nar/gks00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38/nrg3376" TargetMode="External"/><Relationship Id="rId14" Type="http://schemas.openxmlformats.org/officeDocument/2006/relationships/hyperlink" Target="https://doi.org/10.1016/j.tig.2018.05.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9</Pages>
  <Words>3367</Words>
  <Characters>19197</Characters>
  <Application>Microsoft Office Word</Application>
  <DocSecurity>0</DocSecurity>
  <Lines>159</Lines>
  <Paragraphs>45</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Subject: “Three siblings from a non-consanguineous union presented with intellec</vt:lpstr>
      <vt:lpstr>        Kosar qozali chiane</vt:lpstr>
      <vt:lpstr>        </vt:lpstr>
      <vt:lpstr>        Abstract</vt:lpstr>
      <vt:lpstr>        1: The Neuro-Genetics Hypothesis: Revisiting the Repeat Expansion Paradigm</vt:lpstr>
      <vt:lpstr>        2- Nonsense Variant</vt:lpstr>
      <vt:lpstr>        “This nonsense variant introduces a premature stop codon, leading to the truncat</vt:lpstr>
      <vt:lpstr>        3- Frameshift Variant </vt:lpstr>
      <vt:lpstr>        “The deletion of two nucleotides caused a frameshift variant, resulting in an al</vt:lpstr>
      <vt:lpstr>        4-  Splice Site Variant </vt:lpstr>
      <vt:lpstr>        “The variant is located at the canonical splice site of exon 5, which may lead t</vt:lpstr>
      <vt:lpstr>        </vt:lpstr>
      <vt:lpstr>        5- ۴. Splice Site Variant (واریانت جایگاه پیرایش)</vt:lpstr>
      <vt:lpstr>        </vt:lpstr>
      <vt:lpstr>        2: Technical and Bioinformatic Hurdles in the Genomic Assessment of DIP2B</vt:lpstr>
      <vt:lpstr>        3: Emerging Horizons: DIP2B at the Interface of Environmental Exposure and Endoc</vt:lpstr>
      <vt:lpstr>        4. Clinical Recommendations and Future Perspectives</vt:lpstr>
      <vt:lpstr>        </vt:lpstr>
      <vt:lpstr>        </vt:lpstr>
      <vt:lpstr>        </vt:lpstr>
      <vt:lpstr>        8. Conclusion</vt:lpstr>
    </vt:vector>
  </TitlesOfParts>
  <Company>Oprekin</Company>
  <LinksUpToDate>false</LinksUpToDate>
  <CharactersWithSpaces>22519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dc:creator>
  <cp:keywords/>
  <dc:description/>
  <cp:lastModifiedBy>PC-2</cp:lastModifiedBy>
  <cp:revision>3</cp:revision>
  <dcterms:created xsi:type="dcterms:W3CDTF">2026-09-15T14:01:00Z</dcterms:created>
  <dcterms:modified xsi:type="dcterms:W3CDTF">2026-09-16T13:32:00Z</dcterms:modified>
</cp:coreProperties>
</file>