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51A6C" w14:textId="2DC94A8A" w:rsidR="00A57A73" w:rsidRDefault="0020692C" w:rsidP="001C3071">
      <w:pPr>
        <w:ind w:firstLine="708"/>
        <w:jc w:val="both"/>
      </w:pPr>
      <w:r>
        <w:t>W obliczu niesamowicie szybkiego rozwoju techniki niezwykle ważne jest</w:t>
      </w:r>
      <w:r w:rsidR="00326134">
        <w:t xml:space="preserve"> </w:t>
      </w:r>
      <w:r>
        <w:t>podejmowanie odpowiedzialnych i skutecznych decyzji</w:t>
      </w:r>
      <w:r w:rsidR="00326134">
        <w:t xml:space="preserve"> w jak najkrótszym czasie</w:t>
      </w:r>
      <w:r>
        <w:t>. Przedsiębiorstwa mierząc się z coraz większą konkurencją zmuszone</w:t>
      </w:r>
      <w:r w:rsidR="00326134">
        <w:t xml:space="preserve"> są</w:t>
      </w:r>
      <w:r>
        <w:t xml:space="preserve"> optymalizować swoje procesy produkcyjne</w:t>
      </w:r>
      <w:r w:rsidR="00326134">
        <w:t>,</w:t>
      </w:r>
      <w:r>
        <w:t xml:space="preserve"> pod kątem wielu nowych czynników. Poza stosowanymi w przeszłości kryteriami</w:t>
      </w:r>
      <w:r w:rsidR="00326134">
        <w:t>,</w:t>
      </w:r>
      <w:r>
        <w:t xml:space="preserve"> obecnie konieczne jest także uwzględnianie</w:t>
      </w:r>
      <w:r w:rsidR="00326134">
        <w:t xml:space="preserve"> </w:t>
      </w:r>
      <w:r>
        <w:t>np. wpływu na klimat i środowisko, norm i regulacji Unii Europejskiej, ograniczenia hałasu itp. Powstało już wiele narzędzi mających pomóc projektantom czy kierownikom w rozwiązywaniu problemów decyzyjnych. Są to m.in. systemy sztucznej inteligencji, bazy danych, liczne metody optymalizacji oraz systemy ekspertowe.</w:t>
      </w:r>
      <w:r w:rsidR="00A57A73">
        <w:t xml:space="preserve"> </w:t>
      </w:r>
    </w:p>
    <w:p w14:paraId="3D1383B1" w14:textId="3195B409" w:rsidR="00B3463C" w:rsidRDefault="00173C8A" w:rsidP="001C3071">
      <w:pPr>
        <w:ind w:firstLine="708"/>
        <w:jc w:val="both"/>
      </w:pPr>
      <w:r>
        <w:t>Historii tych ostatnich można doszukiwać się już w latach 50 XX</w:t>
      </w:r>
      <w:r w:rsidR="00326134">
        <w:t xml:space="preserve"> </w:t>
      </w:r>
      <w:r>
        <w:t>w. Jako pierwsze</w:t>
      </w:r>
      <w:r w:rsidR="001C3071">
        <w:br/>
      </w:r>
      <w:r>
        <w:t>ich wykorzystanie</w:t>
      </w:r>
      <w:r w:rsidR="00326134">
        <w:t>,</w:t>
      </w:r>
      <w:r>
        <w:t xml:space="preserve"> uznaje się sprzężenie pięciu komputerów</w:t>
      </w:r>
      <w:r w:rsidR="00326134">
        <w:t>,</w:t>
      </w:r>
      <w:r>
        <w:t xml:space="preserve"> w próbie przewidzenia wyników wyborów prezydenckich w USA w 1952r. W kolejnych latach prace nad systemami wspomagania decyzji (SWD) były kontynuowane. W </w:t>
      </w:r>
      <w:r w:rsidR="00E55AB1">
        <w:t>latach 70</w:t>
      </w:r>
      <w:r>
        <w:t xml:space="preserve"> na uniwersytecie </w:t>
      </w:r>
      <w:proofErr w:type="spellStart"/>
      <w:r>
        <w:t>Stanford</w:t>
      </w:r>
      <w:r w:rsidR="00E55AB1">
        <w:t>’a</w:t>
      </w:r>
      <w:proofErr w:type="spellEnd"/>
      <w:r w:rsidR="00E55AB1">
        <w:t xml:space="preserve"> opracowano system MYCIN</w:t>
      </w:r>
      <w:r w:rsidR="00326134">
        <w:t xml:space="preserve"> </w:t>
      </w:r>
      <w:r w:rsidR="00E55AB1">
        <w:t>służący</w:t>
      </w:r>
      <w:r w:rsidR="00326134">
        <w:t xml:space="preserve"> </w:t>
      </w:r>
      <w:r w:rsidR="00E55AB1">
        <w:t>do identyfikacji bakterii roznoszących choroby.</w:t>
      </w:r>
    </w:p>
    <w:p w14:paraId="30AFEADA" w14:textId="2C6D824C" w:rsidR="00A57A73" w:rsidRDefault="0097686C" w:rsidP="001C3071">
      <w:pPr>
        <w:ind w:firstLine="708"/>
        <w:jc w:val="both"/>
      </w:pPr>
      <w:r>
        <w:t xml:space="preserve">Systemy ekspertowe wg Petera </w:t>
      </w:r>
      <w:proofErr w:type="spellStart"/>
      <w:r>
        <w:t>Jackson’a</w:t>
      </w:r>
      <w:proofErr w:type="spellEnd"/>
      <w:r>
        <w:t xml:space="preserve"> definiujemy jako „programy komputerowe symulujące proces podejmowania decyzji człowieka”</w:t>
      </w:r>
      <w:r>
        <w:rPr>
          <w:rStyle w:val="Odwoanieprzypisudolnego"/>
        </w:rPr>
        <w:footnoteReference w:id="1"/>
      </w:r>
      <w:r>
        <w:t>. Ich głównym założeniem</w:t>
      </w:r>
      <w:r w:rsidR="00A57A73">
        <w:t xml:space="preserve"> jest systematyzacja wiedzy. W ich budowie można </w:t>
      </w:r>
      <w:r w:rsidR="00326134">
        <w:t xml:space="preserve">wyróżnić </w:t>
      </w:r>
      <w:r w:rsidR="00CE4EB7">
        <w:t>następujące elementy: baza wiedzy, moduł wnioskowania, interfejs użytkownika, bazy danych stałych oraz zmiennych, moduły pozyskiwania wiedzy oraz objaśniania. Najważniejszym składnikiem SE jest moduł wnioskowania</w:t>
      </w:r>
      <w:r w:rsidR="00326134">
        <w:t>.</w:t>
      </w:r>
      <w:r w:rsidR="00CE4EB7">
        <w:t xml:space="preserve"> </w:t>
      </w:r>
      <w:r w:rsidR="00326134">
        <w:t>O</w:t>
      </w:r>
      <w:r w:rsidR="00CE4EB7">
        <w:t>dpowiada on za odnajdywanie w baz</w:t>
      </w:r>
      <w:r w:rsidR="00326134">
        <w:t>ie</w:t>
      </w:r>
      <w:r w:rsidR="00CE4EB7">
        <w:t xml:space="preserve"> wiedzy rekordów odpowiadających zapytaniom użytkownika, który formułuje je za pomocą interfejsu. Mogą one przyjmować formę pytań lub próśb o podanie jakiejś wartości. Dialog z użytkownikiem może przebiegać za pomocą interfejsu graficznego (</w:t>
      </w:r>
      <w:proofErr w:type="spellStart"/>
      <w:r w:rsidR="00CE4EB7">
        <w:rPr>
          <w:i/>
        </w:rPr>
        <w:t>Graphical</w:t>
      </w:r>
      <w:proofErr w:type="spellEnd"/>
      <w:r w:rsidR="00CE4EB7">
        <w:rPr>
          <w:i/>
        </w:rPr>
        <w:t xml:space="preserve"> User Interface)</w:t>
      </w:r>
      <w:r w:rsidR="00CE4EB7">
        <w:t xml:space="preserve"> lub za pomocą</w:t>
      </w:r>
      <w:r w:rsidR="001C3071">
        <w:t xml:space="preserve"> słownych</w:t>
      </w:r>
      <w:r w:rsidR="00CE4EB7">
        <w:t xml:space="preserve"> komend </w:t>
      </w:r>
      <w:r w:rsidR="001C3071">
        <w:t>wpisywanych w konsoli. Aby sformalizować zapis wiedzy w SE używa się podziału na reguły oraz fakty.</w:t>
      </w:r>
      <w:r w:rsidR="00D66164">
        <w:t xml:space="preserve"> Fakty określają możliwe stany obiektu (np. </w:t>
      </w:r>
      <w:r w:rsidR="008F7C87">
        <w:t>stali: plastyczna/nieplastyczna). Natomiast reguły określają, które z wymienionych w faktach wartości spełnia dany obiekt (np. stal C45 jest nieplastyczna). Opisaną powyżej architekturę nazywamy tablicową. Zadaniem stawianym przed systemami ekspertowymi jest wyciąganie wniosków na podstawie jakichś danych. Wyróżniamy trzy sposoby wnioskowania:</w:t>
      </w:r>
    </w:p>
    <w:p w14:paraId="67D186F5" w14:textId="77777777" w:rsidR="008F7C87" w:rsidRDefault="008F7C87" w:rsidP="008F7C87">
      <w:pPr>
        <w:pStyle w:val="Akapitzlist"/>
        <w:numPr>
          <w:ilvl w:val="0"/>
          <w:numId w:val="1"/>
        </w:numPr>
        <w:jc w:val="both"/>
      </w:pPr>
      <w:r>
        <w:t>W przód (</w:t>
      </w:r>
      <w:proofErr w:type="spellStart"/>
      <w:r>
        <w:t>forward</w:t>
      </w:r>
      <w:proofErr w:type="spellEnd"/>
      <w:r>
        <w:t xml:space="preserve"> </w:t>
      </w:r>
      <w:proofErr w:type="spellStart"/>
      <w:r>
        <w:t>chaining</w:t>
      </w:r>
      <w:proofErr w:type="spellEnd"/>
      <w:r>
        <w:t>) – polegające na odnalezieniu reguł spełniających podane warunki</w:t>
      </w:r>
      <w:r w:rsidR="0097686C">
        <w:t>.</w:t>
      </w:r>
    </w:p>
    <w:p w14:paraId="6C335611" w14:textId="77777777" w:rsidR="0097686C" w:rsidRDefault="0097686C" w:rsidP="008F7C87">
      <w:pPr>
        <w:pStyle w:val="Akapitzlist"/>
        <w:numPr>
          <w:ilvl w:val="0"/>
          <w:numId w:val="1"/>
        </w:numPr>
        <w:jc w:val="both"/>
      </w:pPr>
      <w:r>
        <w:t>W tył (</w:t>
      </w:r>
      <w:proofErr w:type="spellStart"/>
      <w:r>
        <w:t>backward</w:t>
      </w:r>
      <w:proofErr w:type="spellEnd"/>
      <w:r>
        <w:t xml:space="preserve"> </w:t>
      </w:r>
      <w:proofErr w:type="spellStart"/>
      <w:r>
        <w:t>chaining</w:t>
      </w:r>
      <w:proofErr w:type="spellEnd"/>
      <w:r>
        <w:t>) – polegające na odnalezieniu reguł spełniających dane wnioski.</w:t>
      </w:r>
    </w:p>
    <w:p w14:paraId="0879CE0E" w14:textId="77777777" w:rsidR="00E21DC5" w:rsidRDefault="0097686C" w:rsidP="00E21DC5">
      <w:pPr>
        <w:pStyle w:val="Akapitzlist"/>
        <w:numPr>
          <w:ilvl w:val="0"/>
          <w:numId w:val="1"/>
        </w:numPr>
        <w:jc w:val="both"/>
      </w:pPr>
      <w:r>
        <w:t>Mieszane (</w:t>
      </w:r>
      <w:proofErr w:type="spellStart"/>
      <w:r>
        <w:t>mixed</w:t>
      </w:r>
      <w:proofErr w:type="spellEnd"/>
      <w:r>
        <w:t xml:space="preserve"> </w:t>
      </w:r>
      <w:proofErr w:type="spellStart"/>
      <w:r>
        <w:t>reasoning</w:t>
      </w:r>
      <w:proofErr w:type="spellEnd"/>
      <w:r>
        <w:t>)</w:t>
      </w:r>
    </w:p>
    <w:p w14:paraId="43E29693" w14:textId="625393EB" w:rsidR="00BC543D" w:rsidRDefault="00E21DC5" w:rsidP="00E21DC5">
      <w:pPr>
        <w:jc w:val="both"/>
      </w:pPr>
      <w:r>
        <w:tab/>
        <w:t>Popularnymi narzędziami do modelowania SE są szkieletowe systemy ekspertowe takie</w:t>
      </w:r>
      <w:r w:rsidR="00AF5C29">
        <w:br/>
      </w:r>
      <w:r>
        <w:t xml:space="preserve">jak CLIPS i SPHINX. W projekcie został jednak wykorzystany dedykowany </w:t>
      </w:r>
      <w:r w:rsidR="00094A34">
        <w:t xml:space="preserve">biblioteka języka </w:t>
      </w:r>
      <w:proofErr w:type="spellStart"/>
      <w:r w:rsidR="00094A34">
        <w:t>Python</w:t>
      </w:r>
      <w:proofErr w:type="spellEnd"/>
      <w:r w:rsidR="00094A34">
        <w:t xml:space="preserve"> 3 -</w:t>
      </w:r>
      <w:r>
        <w:t xml:space="preserve"> </w:t>
      </w:r>
      <w:proofErr w:type="spellStart"/>
      <w:r>
        <w:t>PyKnow</w:t>
      </w:r>
      <w:proofErr w:type="spellEnd"/>
      <w:r w:rsidR="00F675F0">
        <w:rPr>
          <w:rStyle w:val="Odwoanieprzypisudolnego"/>
        </w:rPr>
        <w:footnoteReference w:id="2"/>
      </w:r>
      <w:r w:rsidR="00094A34">
        <w:t xml:space="preserve">, </w:t>
      </w:r>
      <w:r>
        <w:t>służąc</w:t>
      </w:r>
      <w:r w:rsidR="00094A34">
        <w:t>a</w:t>
      </w:r>
      <w:r>
        <w:t xml:space="preserve"> do budowy </w:t>
      </w:r>
      <w:r w:rsidR="00094A34">
        <w:t>SE opartych na architekturze systemu CLIPS. Definiowanie faktów i reguł przebiega w prosty sposób dzięki wyodrębnianiu ich z kodu za pomocą dekoratorów</w:t>
      </w:r>
      <w:r w:rsidR="00AF5C29">
        <w:br/>
      </w:r>
      <w:r w:rsidR="00094A34">
        <w:t>(np. @</w:t>
      </w:r>
      <w:proofErr w:type="spellStart"/>
      <w:r w:rsidR="00094A34">
        <w:t>pyknow.Rule</w:t>
      </w:r>
      <w:proofErr w:type="spellEnd"/>
      <w:r w:rsidR="00094A34">
        <w:t xml:space="preserve">). Zaletą budowanie SE z pomocą biblioteki </w:t>
      </w:r>
      <w:proofErr w:type="spellStart"/>
      <w:r w:rsidR="00094A34">
        <w:t>PyKnow</w:t>
      </w:r>
      <w:proofErr w:type="spellEnd"/>
      <w:r w:rsidR="00094A34">
        <w:t xml:space="preserve"> jest możliwość ustaleni</w:t>
      </w:r>
      <w:r w:rsidR="00AF5C29">
        <w:t>a</w:t>
      </w:r>
      <w:r w:rsidR="00094A34">
        <w:t xml:space="preserve"> kolejności sprawdzania reguł poprzez nadanie im odpowiedniego priorytetu (</w:t>
      </w:r>
      <w:proofErr w:type="spellStart"/>
      <w:r w:rsidR="00094A34">
        <w:t>salience</w:t>
      </w:r>
      <w:proofErr w:type="spellEnd"/>
      <w:r w:rsidR="00094A34">
        <w:t xml:space="preserve"> = </w:t>
      </w:r>
      <w:proofErr w:type="spellStart"/>
      <w:r w:rsidR="00094A34">
        <w:rPr>
          <w:i/>
        </w:rPr>
        <w:t>rule_priority</w:t>
      </w:r>
      <w:proofErr w:type="spellEnd"/>
      <w:r w:rsidR="00094A34">
        <w:t xml:space="preserve">), co nie jest możliwe np. w przypadku </w:t>
      </w:r>
      <w:r w:rsidR="00BC543D">
        <w:t>systemu SPHINX.</w:t>
      </w:r>
    </w:p>
    <w:p w14:paraId="66B754AD" w14:textId="20F0F030" w:rsidR="00BC543D" w:rsidRDefault="00BC543D" w:rsidP="00E21DC5">
      <w:pPr>
        <w:jc w:val="both"/>
      </w:pPr>
      <w:r>
        <w:tab/>
      </w:r>
      <w:r w:rsidR="00717A17">
        <w:t>Nowością w dziedzinie reprezentacji wiedzy jest metoda XMLKR</w:t>
      </w:r>
      <w:r w:rsidR="00D0330C">
        <w:rPr>
          <w:rStyle w:val="Odwoanieprzypisudolnego"/>
        </w:rPr>
        <w:footnoteReference w:id="3"/>
      </w:r>
      <w:r w:rsidR="00F56E7A">
        <w:t xml:space="preserve">. Ma ona łączyć zalety </w:t>
      </w:r>
      <w:r w:rsidR="00631800">
        <w:t xml:space="preserve">sieci semantycznych oraz </w:t>
      </w:r>
      <w:r w:rsidR="005F05A9">
        <w:t xml:space="preserve">obiektowo zorientowanego </w:t>
      </w:r>
      <w:r w:rsidR="002721F0">
        <w:t>języka XML</w:t>
      </w:r>
      <w:r w:rsidR="005D0045">
        <w:t xml:space="preserve"> stosowanego do przechowywania</w:t>
      </w:r>
      <w:r w:rsidR="00663CB3">
        <w:t xml:space="preserve"> danych.</w:t>
      </w:r>
      <w:r w:rsidR="00D870BD">
        <w:t xml:space="preserve"> </w:t>
      </w:r>
      <w:r w:rsidR="001B6F00">
        <w:lastRenderedPageBreak/>
        <w:t xml:space="preserve">Rozpoznane obiekty najpierw opisywane są za pomocą sieci semantycznych, a następnie dla lepszego </w:t>
      </w:r>
      <w:r w:rsidR="00243657">
        <w:t xml:space="preserve">przedstawienia relacji między nimi używa się języka XML. </w:t>
      </w:r>
      <w:r w:rsidR="0080427B">
        <w:t>Pozwala to na pokonanie jednego</w:t>
      </w:r>
      <w:r w:rsidR="00D15735">
        <w:br/>
      </w:r>
      <w:r w:rsidR="0080427B">
        <w:t xml:space="preserve">z kluczowych problemów </w:t>
      </w:r>
      <w:r w:rsidR="00E76A62">
        <w:t xml:space="preserve">sieci semantycznych jakim są </w:t>
      </w:r>
      <w:r w:rsidR="008C0DCD">
        <w:t>zagnieżdżone relacje.</w:t>
      </w:r>
    </w:p>
    <w:p w14:paraId="782C68DD" w14:textId="6203F8BE" w:rsidR="000B65D9" w:rsidRDefault="000B65D9" w:rsidP="00E21DC5">
      <w:pPr>
        <w:jc w:val="both"/>
      </w:pPr>
      <w:r>
        <w:tab/>
      </w:r>
      <w:r w:rsidR="003D281D">
        <w:t>Systemy ekspertowe zna</w:t>
      </w:r>
      <w:r w:rsidR="00B0001D">
        <w:t>lazły</w:t>
      </w:r>
      <w:r w:rsidR="003D281D">
        <w:t xml:space="preserve"> nowe zastosowanie w diagnozowaniu chorób. </w:t>
      </w:r>
      <w:r w:rsidR="00F82A97">
        <w:t>Są</w:t>
      </w:r>
      <w:r w:rsidR="003D281D">
        <w:t xml:space="preserve"> częścią </w:t>
      </w:r>
      <w:r w:rsidR="000E58C0">
        <w:t>nowego rodzaju systemów wspomagania podejmowania decyzji, który wykorzystuje również algorytmy uczenia maszynowego</w:t>
      </w:r>
      <w:r w:rsidR="00D72072">
        <w:t xml:space="preserve">. </w:t>
      </w:r>
      <w:r w:rsidR="00F82A97">
        <w:t xml:space="preserve">Ich zadaniem </w:t>
      </w:r>
      <w:r w:rsidR="00C52193">
        <w:t>polega na dostarczaniu algorytmowi potwier</w:t>
      </w:r>
      <w:r w:rsidR="001338A3">
        <w:t xml:space="preserve">dzonych danych, </w:t>
      </w:r>
      <w:r w:rsidR="003A642B">
        <w:t xml:space="preserve">dzięki którym </w:t>
      </w:r>
      <w:r w:rsidR="001338A3">
        <w:t>może on realizować mechanizm nauki.</w:t>
      </w:r>
      <w:r w:rsidR="003A642B">
        <w:t xml:space="preserve"> </w:t>
      </w:r>
      <w:r w:rsidR="00800277">
        <w:t xml:space="preserve">Takie podejście charakteryzuje się większą </w:t>
      </w:r>
      <w:r w:rsidR="00624D61">
        <w:t xml:space="preserve">skutecznością diagnozowania oraz odpornością na błędy w bazie danych niż ma to miejsce w przypadku </w:t>
      </w:r>
      <w:r w:rsidR="00216B3B">
        <w:t>wykorzystywani</w:t>
      </w:r>
      <w:r w:rsidR="005221D3">
        <w:t>a</w:t>
      </w:r>
      <w:r w:rsidR="00216B3B">
        <w:t xml:space="preserve"> tych dwóch metod osobno.</w:t>
      </w:r>
      <w:r w:rsidR="009D398A">
        <w:rPr>
          <w:rStyle w:val="Odwoanieprzypisudolnego"/>
        </w:rPr>
        <w:footnoteReference w:id="4"/>
      </w:r>
    </w:p>
    <w:p w14:paraId="0D3821C5" w14:textId="60421E19" w:rsidR="004C3DFA" w:rsidRDefault="00DC6819" w:rsidP="00E21DC5">
      <w:pPr>
        <w:jc w:val="both"/>
      </w:pPr>
      <w:r>
        <w:tab/>
        <w:t xml:space="preserve">Podsumowując, systemy wspomagania decyzji </w:t>
      </w:r>
      <w:r w:rsidR="00945967">
        <w:t xml:space="preserve">odgrywają obecnie znaczącą rolę w dziedzinie zarządzania przedsiębiorstwami. </w:t>
      </w:r>
      <w:r w:rsidR="00410491">
        <w:t xml:space="preserve">Ich zastosowanie zwiększają się wraz z liczbą </w:t>
      </w:r>
      <w:r w:rsidR="00DB0909">
        <w:t xml:space="preserve">czynników jakie rozpatruje się podczas procesu decyzyjnego. </w:t>
      </w:r>
      <w:r w:rsidR="006539AE">
        <w:t>Prace nad systemami ekspertowymi zaczęły się w drugiej połowie XX</w:t>
      </w:r>
      <w:r w:rsidR="00326134">
        <w:t xml:space="preserve"> </w:t>
      </w:r>
      <w:r w:rsidR="006539AE">
        <w:t xml:space="preserve">w. </w:t>
      </w:r>
      <w:r w:rsidR="000C59A2">
        <w:t xml:space="preserve">Swoją budową i funkcjonalnością mają jak najlepiej imitować wiedzę osoby wykształconej (eksperta) w danej dziedzinie. </w:t>
      </w:r>
      <w:r w:rsidR="00F669D8">
        <w:t xml:space="preserve">Oprócz tradycyjnych narzędzi wykorzystywanych </w:t>
      </w:r>
      <w:r w:rsidR="001271BC">
        <w:t>przy tworzeniu SE</w:t>
      </w:r>
      <w:r w:rsidR="00A9758A">
        <w:t>, są również rozwijane nowe korzystające z licencji open</w:t>
      </w:r>
      <w:r w:rsidR="00326134">
        <w:t>-</w:t>
      </w:r>
      <w:proofErr w:type="spellStart"/>
      <w:r w:rsidR="00A9758A">
        <w:t>source</w:t>
      </w:r>
      <w:proofErr w:type="spellEnd"/>
      <w:r w:rsidR="00A9758A">
        <w:t>.</w:t>
      </w:r>
      <w:r w:rsidR="00BF0368">
        <w:t xml:space="preserve"> </w:t>
      </w:r>
      <w:r w:rsidR="009835D8">
        <w:t>Nowo opracowane metody reprezentacji wiedzy</w:t>
      </w:r>
      <w:r w:rsidR="00AB73EE">
        <w:t xml:space="preserve"> takie jak XMLKR</w:t>
      </w:r>
      <w:r w:rsidR="009835D8">
        <w:t xml:space="preserve"> </w:t>
      </w:r>
      <w:r w:rsidR="00AB73EE">
        <w:t xml:space="preserve">oraz </w:t>
      </w:r>
      <w:r w:rsidR="00BF406D">
        <w:t xml:space="preserve">połączenie SE z algorytmami </w:t>
      </w:r>
      <w:r w:rsidR="009D398A">
        <w:t xml:space="preserve">uczenia maszynowego </w:t>
      </w:r>
      <w:r w:rsidR="009835D8">
        <w:t xml:space="preserve">wskazują </w:t>
      </w:r>
      <w:r w:rsidR="00384315">
        <w:t>na ciągłą potrzebę rozwoju nauki o podejmowaniu decyzji.</w:t>
      </w:r>
    </w:p>
    <w:p w14:paraId="4D938A4A" w14:textId="63898091" w:rsidR="00F336E1" w:rsidRDefault="00F336E1" w:rsidP="00F336E1">
      <w:pPr>
        <w:jc w:val="both"/>
      </w:pPr>
      <w:r>
        <w:t>Źródła nie wymienione w przypisach:</w:t>
      </w:r>
    </w:p>
    <w:p w14:paraId="6BC047FA" w14:textId="6B8CB431" w:rsidR="00F336E1" w:rsidRDefault="007D3100" w:rsidP="00F336E1">
      <w:pPr>
        <w:pStyle w:val="Akapitzlist"/>
        <w:numPr>
          <w:ilvl w:val="0"/>
          <w:numId w:val="3"/>
        </w:numPr>
      </w:pPr>
      <w:r>
        <w:t>W.</w:t>
      </w:r>
      <w:r w:rsidR="00DE13F3">
        <w:t xml:space="preserve"> </w:t>
      </w:r>
      <w:r>
        <w:t>Bojar; K.</w:t>
      </w:r>
      <w:r w:rsidR="00DE13F3">
        <w:t xml:space="preserve"> </w:t>
      </w:r>
      <w:r>
        <w:t>Rostek; L.</w:t>
      </w:r>
      <w:r w:rsidR="00DE13F3">
        <w:t xml:space="preserve"> </w:t>
      </w:r>
      <w:r>
        <w:t>Knopik – Systemy wspomagania decyzji</w:t>
      </w:r>
      <w:r w:rsidR="004658B4">
        <w:t xml:space="preserve">; </w:t>
      </w:r>
      <w:r w:rsidR="00CF0E8F">
        <w:t>(2014)</w:t>
      </w:r>
    </w:p>
    <w:p w14:paraId="2E3B4C71" w14:textId="04EEEAA6" w:rsidR="00FD6562" w:rsidRPr="00094A34" w:rsidRDefault="00FD6562" w:rsidP="00F336E1">
      <w:pPr>
        <w:pStyle w:val="Akapitzlist"/>
        <w:numPr>
          <w:ilvl w:val="0"/>
          <w:numId w:val="3"/>
        </w:numPr>
      </w:pPr>
      <w:r>
        <w:t xml:space="preserve">Dr inż. Kamil </w:t>
      </w:r>
      <w:proofErr w:type="spellStart"/>
      <w:r>
        <w:t>Krot</w:t>
      </w:r>
      <w:proofErr w:type="spellEnd"/>
      <w:r>
        <w:t xml:space="preserve"> – Inst</w:t>
      </w:r>
      <w:r w:rsidR="00DE13F3">
        <w:t>r</w:t>
      </w:r>
      <w:r>
        <w:t>ukcja do zajęć projektowych</w:t>
      </w:r>
      <w:r w:rsidR="00414C74">
        <w:t>: Systemy wspomagające podejmowanie decyzji;</w:t>
      </w:r>
    </w:p>
    <w:p w14:paraId="2238516F" w14:textId="77777777" w:rsidR="00E21DC5" w:rsidRDefault="00E21DC5" w:rsidP="00E21DC5">
      <w:pPr>
        <w:jc w:val="both"/>
      </w:pPr>
      <w:bookmarkStart w:id="0" w:name="_GoBack"/>
      <w:bookmarkEnd w:id="0"/>
    </w:p>
    <w:sectPr w:rsidR="00E21D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96C71" w14:textId="77777777" w:rsidR="000C2FC4" w:rsidRDefault="000C2FC4" w:rsidP="0097686C">
      <w:pPr>
        <w:spacing w:after="0" w:line="240" w:lineRule="auto"/>
      </w:pPr>
      <w:r>
        <w:separator/>
      </w:r>
    </w:p>
  </w:endnote>
  <w:endnote w:type="continuationSeparator" w:id="0">
    <w:p w14:paraId="64204912" w14:textId="77777777" w:rsidR="000C2FC4" w:rsidRDefault="000C2FC4" w:rsidP="00976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B4713" w14:textId="77777777" w:rsidR="000C2FC4" w:rsidRDefault="000C2FC4" w:rsidP="0097686C">
      <w:pPr>
        <w:spacing w:after="0" w:line="240" w:lineRule="auto"/>
      </w:pPr>
      <w:r>
        <w:separator/>
      </w:r>
    </w:p>
  </w:footnote>
  <w:footnote w:type="continuationSeparator" w:id="0">
    <w:p w14:paraId="31A5005F" w14:textId="77777777" w:rsidR="000C2FC4" w:rsidRDefault="000C2FC4" w:rsidP="0097686C">
      <w:pPr>
        <w:spacing w:after="0" w:line="240" w:lineRule="auto"/>
      </w:pPr>
      <w:r>
        <w:continuationSeparator/>
      </w:r>
    </w:p>
  </w:footnote>
  <w:footnote w:id="1">
    <w:p w14:paraId="777678EB" w14:textId="77777777" w:rsidR="0097686C" w:rsidRPr="00326134" w:rsidRDefault="0097686C">
      <w:pPr>
        <w:pStyle w:val="Tekstprzypisudolnego"/>
        <w:rPr>
          <w:lang w:val="en-GB"/>
        </w:rPr>
      </w:pPr>
      <w:r>
        <w:rPr>
          <w:rStyle w:val="Odwoanieprzypisudolnego"/>
        </w:rPr>
        <w:footnoteRef/>
      </w:r>
      <w:r w:rsidRPr="00326134">
        <w:rPr>
          <w:lang w:val="en-GB"/>
        </w:rPr>
        <w:t xml:space="preserve"> Peter Jackson – Introduction To Expert Systems</w:t>
      </w:r>
      <w:r w:rsidR="00E21DC5" w:rsidRPr="00326134">
        <w:rPr>
          <w:lang w:val="en-GB"/>
        </w:rPr>
        <w:t>; (1998)</w:t>
      </w:r>
    </w:p>
  </w:footnote>
  <w:footnote w:id="2">
    <w:p w14:paraId="5514E164" w14:textId="5C5F76B4" w:rsidR="00F675F0" w:rsidRPr="00326134" w:rsidRDefault="00F675F0">
      <w:pPr>
        <w:pStyle w:val="Tekstprzypisudolnego"/>
        <w:rPr>
          <w:lang w:val="en-GB"/>
        </w:rPr>
      </w:pPr>
      <w:r>
        <w:rPr>
          <w:rStyle w:val="Odwoanieprzypisudolnego"/>
        </w:rPr>
        <w:footnoteRef/>
      </w:r>
      <w:r w:rsidRPr="00326134">
        <w:rPr>
          <w:lang w:val="en-GB"/>
        </w:rPr>
        <w:t xml:space="preserve"> https://pyknow.readthedocs.io/en/stable/introduction.html</w:t>
      </w:r>
    </w:p>
  </w:footnote>
  <w:footnote w:id="3">
    <w:p w14:paraId="787535CF" w14:textId="18C34D87" w:rsidR="00D0330C" w:rsidRPr="00326134" w:rsidRDefault="00D0330C">
      <w:pPr>
        <w:pStyle w:val="Tekstprzypisudolnego"/>
        <w:rPr>
          <w:lang w:val="en-GB"/>
        </w:rPr>
      </w:pPr>
      <w:r>
        <w:rPr>
          <w:rStyle w:val="Odwoanieprzypisudolnego"/>
        </w:rPr>
        <w:footnoteRef/>
      </w:r>
      <w:r w:rsidRPr="00326134">
        <w:rPr>
          <w:lang w:val="en-GB"/>
        </w:rPr>
        <w:t xml:space="preserve"> </w:t>
      </w:r>
      <w:r w:rsidR="004644EE" w:rsidRPr="00326134">
        <w:rPr>
          <w:lang w:val="en-GB"/>
        </w:rPr>
        <w:t>M. Bahrami; S.Kaviani – A new method for knowledge re</w:t>
      </w:r>
      <w:r w:rsidR="0014702A" w:rsidRPr="00326134">
        <w:rPr>
          <w:lang w:val="en-GB"/>
        </w:rPr>
        <w:t>presentation in expert system’s (XMLKR);</w:t>
      </w:r>
      <w:r w:rsidR="004658B4" w:rsidRPr="00326134">
        <w:rPr>
          <w:lang w:val="en-GB"/>
        </w:rPr>
        <w:t xml:space="preserve"> (2018)</w:t>
      </w:r>
      <w:r w:rsidR="0014702A" w:rsidRPr="00326134">
        <w:rPr>
          <w:lang w:val="en-GB"/>
        </w:rPr>
        <w:t xml:space="preserve"> https://arxiv.org/abs/0812.3648</w:t>
      </w:r>
    </w:p>
  </w:footnote>
  <w:footnote w:id="4">
    <w:p w14:paraId="4D6A6F35" w14:textId="43E00A10" w:rsidR="009D398A" w:rsidRPr="00326134" w:rsidRDefault="009D398A">
      <w:pPr>
        <w:pStyle w:val="Tekstprzypisudolnego"/>
        <w:rPr>
          <w:lang w:val="en-GB"/>
        </w:rPr>
      </w:pPr>
      <w:r>
        <w:rPr>
          <w:rStyle w:val="Odwoanieprzypisudolnego"/>
        </w:rPr>
        <w:footnoteRef/>
      </w:r>
      <w:r w:rsidRPr="00326134">
        <w:rPr>
          <w:lang w:val="en-GB"/>
        </w:rPr>
        <w:t xml:space="preserve"> </w:t>
      </w:r>
      <w:r w:rsidR="000350AF" w:rsidRPr="00326134">
        <w:rPr>
          <w:lang w:val="en-GB"/>
        </w:rPr>
        <w:t>M. Raburi; A.</w:t>
      </w:r>
      <w:r w:rsidR="005469A8" w:rsidRPr="00326134">
        <w:rPr>
          <w:lang w:val="en-GB"/>
        </w:rPr>
        <w:t xml:space="preserve"> </w:t>
      </w:r>
      <w:r w:rsidR="000350AF" w:rsidRPr="00326134">
        <w:rPr>
          <w:lang w:val="en-GB"/>
        </w:rPr>
        <w:t>Kannan; G.</w:t>
      </w:r>
      <w:r w:rsidR="005469A8" w:rsidRPr="00326134">
        <w:rPr>
          <w:lang w:val="en-GB"/>
        </w:rPr>
        <w:t xml:space="preserve"> </w:t>
      </w:r>
      <w:r w:rsidR="000350AF" w:rsidRPr="00326134">
        <w:rPr>
          <w:lang w:val="en-GB"/>
        </w:rPr>
        <w:t>Tso</w:t>
      </w:r>
      <w:r w:rsidR="005469A8" w:rsidRPr="00326134">
        <w:rPr>
          <w:lang w:val="en-GB"/>
        </w:rPr>
        <w:t>; X. Amatriain – Learning from the experts: From expert systems to machine-learned diagnosis models</w:t>
      </w:r>
      <w:r w:rsidR="00DE13F3" w:rsidRPr="00326134">
        <w:rPr>
          <w:lang w:val="en-GB"/>
        </w:rPr>
        <w:t>; (2018) https://arxiv.org/abs/1804.08033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138EA"/>
    <w:multiLevelType w:val="hybridMultilevel"/>
    <w:tmpl w:val="56C2A86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302C4C5E"/>
    <w:multiLevelType w:val="hybridMultilevel"/>
    <w:tmpl w:val="F66293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A950155"/>
    <w:multiLevelType w:val="hybridMultilevel"/>
    <w:tmpl w:val="A924410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92C"/>
    <w:rsid w:val="0000410C"/>
    <w:rsid w:val="000350AF"/>
    <w:rsid w:val="00094A34"/>
    <w:rsid w:val="000B65D9"/>
    <w:rsid w:val="000C2FC4"/>
    <w:rsid w:val="000C59A2"/>
    <w:rsid w:val="000E58C0"/>
    <w:rsid w:val="001271BC"/>
    <w:rsid w:val="001338A3"/>
    <w:rsid w:val="0014702A"/>
    <w:rsid w:val="00173C8A"/>
    <w:rsid w:val="001B6F00"/>
    <w:rsid w:val="001C3071"/>
    <w:rsid w:val="0020692C"/>
    <w:rsid w:val="00216B3B"/>
    <w:rsid w:val="00243657"/>
    <w:rsid w:val="002721F0"/>
    <w:rsid w:val="00326134"/>
    <w:rsid w:val="00384315"/>
    <w:rsid w:val="003A642B"/>
    <w:rsid w:val="003D281D"/>
    <w:rsid w:val="00410491"/>
    <w:rsid w:val="00414C74"/>
    <w:rsid w:val="004644EE"/>
    <w:rsid w:val="004658B4"/>
    <w:rsid w:val="00477DE8"/>
    <w:rsid w:val="004C3DFA"/>
    <w:rsid w:val="005221D3"/>
    <w:rsid w:val="005469A8"/>
    <w:rsid w:val="00575AA2"/>
    <w:rsid w:val="005D0045"/>
    <w:rsid w:val="005F05A9"/>
    <w:rsid w:val="00624D61"/>
    <w:rsid w:val="00631800"/>
    <w:rsid w:val="006539AE"/>
    <w:rsid w:val="00663CB3"/>
    <w:rsid w:val="00717A17"/>
    <w:rsid w:val="007B7264"/>
    <w:rsid w:val="007D3100"/>
    <w:rsid w:val="00800277"/>
    <w:rsid w:val="0080427B"/>
    <w:rsid w:val="008C0DCD"/>
    <w:rsid w:val="008F7C87"/>
    <w:rsid w:val="0091156C"/>
    <w:rsid w:val="00945967"/>
    <w:rsid w:val="0097686C"/>
    <w:rsid w:val="009835D8"/>
    <w:rsid w:val="009D398A"/>
    <w:rsid w:val="00A57A73"/>
    <w:rsid w:val="00A9758A"/>
    <w:rsid w:val="00AB73EE"/>
    <w:rsid w:val="00AF5C29"/>
    <w:rsid w:val="00B0001D"/>
    <w:rsid w:val="00B3463C"/>
    <w:rsid w:val="00BC543D"/>
    <w:rsid w:val="00BF0368"/>
    <w:rsid w:val="00BF406D"/>
    <w:rsid w:val="00C52193"/>
    <w:rsid w:val="00CE4EB7"/>
    <w:rsid w:val="00CF0E8F"/>
    <w:rsid w:val="00D0330C"/>
    <w:rsid w:val="00D04648"/>
    <w:rsid w:val="00D15735"/>
    <w:rsid w:val="00D66164"/>
    <w:rsid w:val="00D72072"/>
    <w:rsid w:val="00D870BD"/>
    <w:rsid w:val="00DB0909"/>
    <w:rsid w:val="00DC6819"/>
    <w:rsid w:val="00DE13F3"/>
    <w:rsid w:val="00E10CB9"/>
    <w:rsid w:val="00E21DC5"/>
    <w:rsid w:val="00E55AB1"/>
    <w:rsid w:val="00E76A62"/>
    <w:rsid w:val="00EF4B58"/>
    <w:rsid w:val="00F06E9F"/>
    <w:rsid w:val="00F336E1"/>
    <w:rsid w:val="00F45821"/>
    <w:rsid w:val="00F56E7A"/>
    <w:rsid w:val="00F669D8"/>
    <w:rsid w:val="00F675F0"/>
    <w:rsid w:val="00F8210E"/>
    <w:rsid w:val="00F82A97"/>
    <w:rsid w:val="00FD2B87"/>
    <w:rsid w:val="00FD65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4C914"/>
  <w15:chartTrackingRefBased/>
  <w15:docId w15:val="{F98919C5-AA22-40B9-9830-5A06522FD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F7C87"/>
    <w:pPr>
      <w:ind w:left="720"/>
      <w:contextualSpacing/>
    </w:pPr>
  </w:style>
  <w:style w:type="paragraph" w:styleId="Tekstprzypisudolnego">
    <w:name w:val="footnote text"/>
    <w:basedOn w:val="Normalny"/>
    <w:link w:val="TekstprzypisudolnegoZnak"/>
    <w:uiPriority w:val="99"/>
    <w:semiHidden/>
    <w:unhideWhenUsed/>
    <w:rsid w:val="0097686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7686C"/>
    <w:rPr>
      <w:sz w:val="20"/>
      <w:szCs w:val="20"/>
    </w:rPr>
  </w:style>
  <w:style w:type="character" w:styleId="Odwoanieprzypisudolnego">
    <w:name w:val="footnote reference"/>
    <w:basedOn w:val="Domylnaczcionkaakapitu"/>
    <w:uiPriority w:val="99"/>
    <w:semiHidden/>
    <w:unhideWhenUsed/>
    <w:rsid w:val="009768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005C1-7584-4B5B-BD79-4BDED0F59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Pages>
  <Words>720</Words>
  <Characters>4320</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dzik Dziuba</dc:creator>
  <cp:keywords/>
  <dc:description/>
  <cp:lastModifiedBy>Student 237011</cp:lastModifiedBy>
  <cp:revision>70</cp:revision>
  <dcterms:created xsi:type="dcterms:W3CDTF">2018-11-12T11:03:00Z</dcterms:created>
  <dcterms:modified xsi:type="dcterms:W3CDTF">2018-11-12T16:08:00Z</dcterms:modified>
</cp:coreProperties>
</file>