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9BC" w:rsidRDefault="008F7CA8" w:rsidP="008F7CA8">
      <w:pPr>
        <w:jc w:val="center"/>
        <w:rPr>
          <w:lang w:val="en-US"/>
        </w:rPr>
      </w:pPr>
      <w:r>
        <w:rPr>
          <w:lang w:val="en-US"/>
        </w:rPr>
        <w:t>Land Use and</w:t>
      </w:r>
      <w:r w:rsidR="00A1569A">
        <w:rPr>
          <w:lang w:val="en-US"/>
        </w:rPr>
        <w:t xml:space="preserve"> Land Cover segmentation using</w:t>
      </w:r>
      <w:r>
        <w:rPr>
          <w:lang w:val="en-US"/>
        </w:rPr>
        <w:t xml:space="preserve"> U</w:t>
      </w:r>
      <w:r w:rsidR="00242544">
        <w:rPr>
          <w:lang w:val="en-US"/>
        </w:rPr>
        <w:t>N</w:t>
      </w:r>
      <w:r>
        <w:rPr>
          <w:lang w:val="en-US"/>
        </w:rPr>
        <w:t>et</w:t>
      </w:r>
    </w:p>
    <w:p w:rsidR="008F7CA8" w:rsidRDefault="008F7CA8" w:rsidP="008F7CA8">
      <w:pPr>
        <w:jc w:val="center"/>
        <w:rPr>
          <w:lang w:val="en-US"/>
        </w:rPr>
      </w:pPr>
    </w:p>
    <w:p w:rsidR="008F7CA8" w:rsidRDefault="00741A42" w:rsidP="008F7CA8">
      <w:pPr>
        <w:rPr>
          <w:lang w:val="en-US"/>
        </w:rPr>
      </w:pPr>
      <w:r>
        <w:rPr>
          <w:lang w:val="en-US"/>
        </w:rPr>
        <w:t>Model architecture:</w:t>
      </w:r>
    </w:p>
    <w:p w:rsidR="00741A42" w:rsidRDefault="00741A42" w:rsidP="00741A42">
      <w:pPr>
        <w:rPr>
          <w:lang w:val="en-US"/>
        </w:rPr>
      </w:pPr>
      <w:r>
        <w:rPr>
          <w:lang w:val="en-US"/>
        </w:rPr>
        <w:tab/>
        <w:t>Defined Blocks:</w:t>
      </w:r>
    </w:p>
    <w:p w:rsidR="00741A42" w:rsidRDefault="00741A42" w:rsidP="00741A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Convolution block: Made of chains of convolution-&gt;convolution-&gt;batch normalization. The chain length is 2 in the short version of the model with </w:t>
      </w:r>
      <w:r w:rsidRPr="008F7CA8">
        <w:rPr>
          <w:lang w:val="en-US"/>
        </w:rPr>
        <w:t>61,296,357</w:t>
      </w:r>
      <w:r>
        <w:rPr>
          <w:lang w:val="en-US"/>
        </w:rPr>
        <w:t xml:space="preserve"> parameters, and 3 in the long version of the model with </w:t>
      </w:r>
      <w:r w:rsidRPr="008F7CA8">
        <w:rPr>
          <w:lang w:val="en-US"/>
        </w:rPr>
        <w:t>92,740,773</w:t>
      </w:r>
      <w:r>
        <w:rPr>
          <w:lang w:val="en-US"/>
        </w:rPr>
        <w:t xml:space="preserve"> parameters</w:t>
      </w:r>
    </w:p>
    <w:p w:rsidR="00741A42" w:rsidRDefault="00741A42" w:rsidP="00741A42">
      <w:pPr>
        <w:pStyle w:val="ListParagraph"/>
        <w:ind w:left="1800"/>
        <w:rPr>
          <w:lang w:val="en-US"/>
        </w:rPr>
      </w:pPr>
    </w:p>
    <w:p w:rsidR="00741A42" w:rsidRDefault="00741A42" w:rsidP="00741A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Deconvolution block: Made of chains of deconvolution-&gt;deconvolution-&gt;batch normalization. Chain length is 2 in the short version of the model, and 3 in the long version</w:t>
      </w:r>
    </w:p>
    <w:p w:rsidR="00741A42" w:rsidRPr="00741A42" w:rsidRDefault="00741A42" w:rsidP="00741A42">
      <w:pPr>
        <w:pStyle w:val="ListParagraph"/>
        <w:rPr>
          <w:lang w:val="en-US"/>
        </w:rPr>
      </w:pPr>
    </w:p>
    <w:p w:rsidR="00741A42" w:rsidRDefault="00741A42" w:rsidP="00741A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Downsample: Consists of a single max pooling operation</w:t>
      </w:r>
    </w:p>
    <w:p w:rsidR="00741A42" w:rsidRPr="00741A42" w:rsidRDefault="00741A42" w:rsidP="00741A42">
      <w:pPr>
        <w:pStyle w:val="ListParagraph"/>
        <w:rPr>
          <w:lang w:val="en-US"/>
        </w:rPr>
      </w:pPr>
    </w:p>
    <w:p w:rsidR="00741A42" w:rsidRDefault="00741A42" w:rsidP="00741A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Upsample: Consists of a single unpooling operation</w:t>
      </w:r>
    </w:p>
    <w:p w:rsidR="00741A42" w:rsidRPr="00741A42" w:rsidRDefault="00741A42" w:rsidP="00741A42">
      <w:pPr>
        <w:pStyle w:val="ListParagraph"/>
        <w:rPr>
          <w:lang w:val="en-US"/>
        </w:rPr>
      </w:pPr>
    </w:p>
    <w:p w:rsidR="00242544" w:rsidRDefault="00741A42" w:rsidP="00741A42">
      <w:pPr>
        <w:ind w:left="720"/>
        <w:rPr>
          <w:lang w:val="en-US"/>
        </w:rPr>
      </w:pPr>
      <w:r>
        <w:rPr>
          <w:lang w:val="en-US"/>
        </w:rPr>
        <w:t>Since the network is symmetrical, the outputs of the convolution blocks are fused (concatenated) with the inputs to the corresponding deconvolution blocks, which have the same shapes.</w:t>
      </w:r>
      <w:r w:rsidR="00242544">
        <w:rPr>
          <w:lang w:val="en-US"/>
        </w:rPr>
        <w:t xml:space="preserve"> </w:t>
      </w:r>
    </w:p>
    <w:p w:rsidR="00A1569A" w:rsidRDefault="00A1569A" w:rsidP="00741A42">
      <w:pPr>
        <w:ind w:left="720"/>
        <w:rPr>
          <w:lang w:val="en-US"/>
        </w:rPr>
      </w:pPr>
      <w:r>
        <w:rPr>
          <w:lang w:val="en-US"/>
        </w:rPr>
        <w:t xml:space="preserve">There is only one dropout layer, at the end of the  downsampling path. In practice, adding even a little more dropout causes the network to severely underfit. </w:t>
      </w:r>
    </w:p>
    <w:p w:rsidR="008F7CA8" w:rsidRDefault="00741A42" w:rsidP="00242544">
      <w:pPr>
        <w:ind w:left="720"/>
        <w:rPr>
          <w:lang w:val="en-US"/>
        </w:rPr>
      </w:pPr>
      <w:r>
        <w:rPr>
          <w:lang w:val="en-US"/>
        </w:rPr>
        <w:t>The output from the last deconvolution block is fed into a bottleneck convolution block which performs 1x1 convolutions with 5 fil</w:t>
      </w:r>
      <w:r w:rsidR="00242544">
        <w:rPr>
          <w:lang w:val="en-US"/>
        </w:rPr>
        <w:t>ters, and applies a softmax activation to produce the output from the network.</w:t>
      </w:r>
      <w:r w:rsidR="00A1569A">
        <w:rPr>
          <w:lang w:val="en-US"/>
        </w:rPr>
        <w:t xml:space="preserve"> This operation maintains the height and width of the propagating tensor, while reducing the depth to the necessary dimensions.</w:t>
      </w:r>
    </w:p>
    <w:p w:rsidR="00A1569A" w:rsidRDefault="00A1569A" w:rsidP="00242544">
      <w:pPr>
        <w:ind w:left="720"/>
        <w:rPr>
          <w:lang w:val="en-US"/>
        </w:rPr>
      </w:pPr>
      <w:r>
        <w:rPr>
          <w:lang w:val="en-US"/>
        </w:rPr>
        <w:t xml:space="preserve">Also, unlike in the </w:t>
      </w:r>
      <w:hyperlink r:id="rId6" w:history="1">
        <w:r w:rsidRPr="00A1569A">
          <w:rPr>
            <w:rStyle w:val="Hyperlink"/>
            <w:lang w:val="en-US"/>
          </w:rPr>
          <w:t>original UNet paper</w:t>
        </w:r>
      </w:hyperlink>
      <w:r>
        <w:rPr>
          <w:lang w:val="en-US"/>
        </w:rPr>
        <w:t xml:space="preserve">, this architecture doesn’t require any cropping operations while fusing the intermediary outputs, since the output size of the convolution blocks, and the input size of the </w:t>
      </w:r>
      <w:r w:rsidR="00D6687E">
        <w:rPr>
          <w:lang w:val="en-US"/>
        </w:rPr>
        <w:t>deconvolution blocks, have the same shapes.</w:t>
      </w:r>
    </w:p>
    <w:p w:rsidR="008F7CA8" w:rsidRDefault="008F7CA8" w:rsidP="008F7CA8">
      <w:pPr>
        <w:rPr>
          <w:lang w:val="en-US"/>
        </w:rPr>
      </w:pPr>
    </w:p>
    <w:p w:rsidR="008F7CA8" w:rsidRDefault="008F7CA8" w:rsidP="008F7CA8">
      <w:pPr>
        <w:rPr>
          <w:lang w:val="en-US"/>
        </w:rPr>
      </w:pPr>
      <w:r>
        <w:rPr>
          <w:lang w:val="en-US"/>
        </w:rPr>
        <w:t>Results:</w:t>
      </w:r>
    </w:p>
    <w:p w:rsidR="00A1569A" w:rsidRDefault="00A1569A" w:rsidP="008F7CA8">
      <w:pPr>
        <w:rPr>
          <w:lang w:val="en-US"/>
        </w:rPr>
      </w:pPr>
      <w:r>
        <w:rPr>
          <w:lang w:val="en-US"/>
        </w:rPr>
        <w:t>The validation set was 20% of the dataset. The rest (80%) was used for training the network for 100 epochs using both Adam and SGD optimization algorithms.</w:t>
      </w:r>
    </w:p>
    <w:p w:rsidR="00D6687E" w:rsidRDefault="00D6687E" w:rsidP="008F7CA8">
      <w:pPr>
        <w:rPr>
          <w:lang w:val="en-US"/>
        </w:rPr>
      </w:pPr>
      <w:r>
        <w:rPr>
          <w:lang w:val="en-US"/>
        </w:rPr>
        <w:t>The dropout layer was configured to zero out entire channels, with a rate of 0.2.</w:t>
      </w:r>
    </w:p>
    <w:p w:rsidR="00D6687E" w:rsidRDefault="00D6687E" w:rsidP="008F7CA8">
      <w:pPr>
        <w:rPr>
          <w:lang w:val="en-US"/>
        </w:rPr>
      </w:pPr>
      <w:r>
        <w:rPr>
          <w:lang w:val="en-US"/>
        </w:rPr>
        <w:t>An exponentially decaying learning rate was used. The initial value was 0.01. Every 10 epochs, the learning rate would decay by a factor of 0.9. For the SGD optimizer, a Nesterov momentum value of 0.9 was used.</w:t>
      </w:r>
    </w:p>
    <w:p w:rsidR="00D6687E" w:rsidRDefault="00D6687E" w:rsidP="008F7CA8">
      <w:pPr>
        <w:rPr>
          <w:lang w:val="en-US"/>
        </w:rPr>
      </w:pPr>
      <w:r>
        <w:rPr>
          <w:lang w:val="en-US"/>
        </w:rPr>
        <w:t>A batch size of 64 was used.</w:t>
      </w:r>
    </w:p>
    <w:p w:rsidR="00D6687E" w:rsidRDefault="00D6687E" w:rsidP="008F7CA8">
      <w:pPr>
        <w:rPr>
          <w:lang w:val="en-US"/>
        </w:rPr>
      </w:pPr>
      <w:r>
        <w:rPr>
          <w:lang w:val="en-US"/>
        </w:rPr>
        <w:t>The results are described in the table</w:t>
      </w:r>
      <w:r w:rsidR="005D2ACF">
        <w:rPr>
          <w:lang w:val="en-US"/>
        </w:rPr>
        <w:t>s</w:t>
      </w:r>
      <w:r>
        <w:rPr>
          <w:lang w:val="en-US"/>
        </w:rPr>
        <w:t xml:space="preserve">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1770"/>
        <w:gridCol w:w="1825"/>
        <w:gridCol w:w="1640"/>
        <w:gridCol w:w="1717"/>
      </w:tblGrid>
      <w:tr w:rsidR="008F7CA8" w:rsidTr="008F7CA8">
        <w:tc>
          <w:tcPr>
            <w:tcW w:w="2064" w:type="dxa"/>
          </w:tcPr>
          <w:p w:rsidR="008F7CA8" w:rsidRDefault="008F7CA8" w:rsidP="008F7CA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Configuration</w:t>
            </w:r>
          </w:p>
        </w:tc>
        <w:tc>
          <w:tcPr>
            <w:tcW w:w="1770" w:type="dxa"/>
          </w:tcPr>
          <w:p w:rsidR="008F7CA8" w:rsidRDefault="008F7CA8" w:rsidP="008F7CA8">
            <w:pPr>
              <w:rPr>
                <w:lang w:val="en-US"/>
              </w:rPr>
            </w:pPr>
            <w:r>
              <w:rPr>
                <w:lang w:val="en-US"/>
              </w:rPr>
              <w:t>Number of Parameters</w:t>
            </w:r>
          </w:p>
        </w:tc>
        <w:tc>
          <w:tcPr>
            <w:tcW w:w="1825" w:type="dxa"/>
          </w:tcPr>
          <w:p w:rsidR="008F7CA8" w:rsidRDefault="008F7CA8" w:rsidP="008F7CA8">
            <w:pPr>
              <w:rPr>
                <w:lang w:val="en-US"/>
              </w:rPr>
            </w:pPr>
            <w:r>
              <w:rPr>
                <w:lang w:val="en-US"/>
              </w:rPr>
              <w:t>Optimization algorithm</w:t>
            </w:r>
          </w:p>
        </w:tc>
        <w:tc>
          <w:tcPr>
            <w:tcW w:w="1640" w:type="dxa"/>
          </w:tcPr>
          <w:p w:rsidR="008F7CA8" w:rsidRDefault="008F7CA8" w:rsidP="008F7CA8">
            <w:pPr>
              <w:rPr>
                <w:lang w:val="en-US"/>
              </w:rPr>
            </w:pPr>
            <w:r>
              <w:rPr>
                <w:lang w:val="en-US"/>
              </w:rPr>
              <w:t>Training set accuracy after 100 epochs</w:t>
            </w:r>
          </w:p>
        </w:tc>
        <w:tc>
          <w:tcPr>
            <w:tcW w:w="1717" w:type="dxa"/>
          </w:tcPr>
          <w:p w:rsidR="008F7CA8" w:rsidRDefault="008F7CA8" w:rsidP="008F7CA8">
            <w:pPr>
              <w:rPr>
                <w:lang w:val="en-US"/>
              </w:rPr>
            </w:pPr>
            <w:r>
              <w:rPr>
                <w:lang w:val="en-US"/>
              </w:rPr>
              <w:t>Validation set accuracy after 100 epochs</w:t>
            </w:r>
          </w:p>
        </w:tc>
      </w:tr>
      <w:tr w:rsidR="008F7CA8" w:rsidTr="008F7CA8">
        <w:tc>
          <w:tcPr>
            <w:tcW w:w="2064" w:type="dxa"/>
          </w:tcPr>
          <w:p w:rsidR="008F7CA8" w:rsidRDefault="008F7CA8" w:rsidP="008F7CA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770" w:type="dxa"/>
          </w:tcPr>
          <w:p w:rsidR="008F7CA8" w:rsidRDefault="008F7CA8" w:rsidP="008F7CA8">
            <w:pPr>
              <w:rPr>
                <w:lang w:val="en-US"/>
              </w:rPr>
            </w:pPr>
            <w:r w:rsidRPr="008F7CA8">
              <w:rPr>
                <w:lang w:val="en-US"/>
              </w:rPr>
              <w:t>92,740,773</w:t>
            </w:r>
          </w:p>
        </w:tc>
        <w:tc>
          <w:tcPr>
            <w:tcW w:w="1825" w:type="dxa"/>
          </w:tcPr>
          <w:p w:rsidR="008F7CA8" w:rsidRDefault="008F7CA8" w:rsidP="008F7CA8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640" w:type="dxa"/>
          </w:tcPr>
          <w:p w:rsidR="008F7CA8" w:rsidRDefault="008F7CA8" w:rsidP="008F7CA8">
            <w:pPr>
              <w:rPr>
                <w:lang w:val="en-US"/>
              </w:rPr>
            </w:pPr>
            <w:r w:rsidRPr="008F7CA8">
              <w:rPr>
                <w:lang w:val="en-US"/>
              </w:rPr>
              <w:t>0.7944</w:t>
            </w:r>
          </w:p>
        </w:tc>
        <w:tc>
          <w:tcPr>
            <w:tcW w:w="1717" w:type="dxa"/>
          </w:tcPr>
          <w:p w:rsidR="008F7CA8" w:rsidRPr="00A1569A" w:rsidRDefault="008F7CA8" w:rsidP="008F7CA8">
            <w:pPr>
              <w:rPr>
                <w:lang w:val="en-US"/>
              </w:rPr>
            </w:pPr>
            <w:r w:rsidRPr="00A1569A">
              <w:rPr>
                <w:lang w:val="en-US"/>
              </w:rPr>
              <w:t>0.8037</w:t>
            </w:r>
          </w:p>
        </w:tc>
      </w:tr>
      <w:tr w:rsidR="008F7CA8" w:rsidTr="008F7CA8">
        <w:tc>
          <w:tcPr>
            <w:tcW w:w="2064" w:type="dxa"/>
          </w:tcPr>
          <w:p w:rsidR="008F7CA8" w:rsidRDefault="008F7CA8" w:rsidP="008F7CA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770" w:type="dxa"/>
          </w:tcPr>
          <w:p w:rsidR="008F7CA8" w:rsidRDefault="008F7CA8" w:rsidP="008F7CA8">
            <w:pPr>
              <w:rPr>
                <w:lang w:val="en-US"/>
              </w:rPr>
            </w:pPr>
            <w:r w:rsidRPr="008F7CA8">
              <w:rPr>
                <w:lang w:val="en-US"/>
              </w:rPr>
              <w:t>92,740,773</w:t>
            </w:r>
          </w:p>
        </w:tc>
        <w:tc>
          <w:tcPr>
            <w:tcW w:w="1825" w:type="dxa"/>
          </w:tcPr>
          <w:p w:rsidR="008F7CA8" w:rsidRDefault="008F7CA8" w:rsidP="008F7CA8">
            <w:pPr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640" w:type="dxa"/>
          </w:tcPr>
          <w:p w:rsidR="008F7CA8" w:rsidRDefault="008F7CA8" w:rsidP="008F7CA8">
            <w:pPr>
              <w:rPr>
                <w:lang w:val="en-US"/>
              </w:rPr>
            </w:pPr>
            <w:r w:rsidRPr="008F7CA8">
              <w:rPr>
                <w:lang w:val="en-US"/>
              </w:rPr>
              <w:t>0.7436</w:t>
            </w:r>
          </w:p>
        </w:tc>
        <w:tc>
          <w:tcPr>
            <w:tcW w:w="1717" w:type="dxa"/>
          </w:tcPr>
          <w:p w:rsidR="008F7CA8" w:rsidRPr="008F7CA8" w:rsidRDefault="008F7CA8" w:rsidP="008F7CA8">
            <w:pPr>
              <w:rPr>
                <w:lang w:val="en-US"/>
              </w:rPr>
            </w:pPr>
            <w:r w:rsidRPr="008F7CA8">
              <w:rPr>
                <w:lang w:val="en-US"/>
              </w:rPr>
              <w:t>0.7470</w:t>
            </w:r>
          </w:p>
        </w:tc>
      </w:tr>
      <w:tr w:rsidR="008F7CA8" w:rsidTr="008F7CA8">
        <w:tc>
          <w:tcPr>
            <w:tcW w:w="2064" w:type="dxa"/>
          </w:tcPr>
          <w:p w:rsidR="008F7CA8" w:rsidRDefault="008F7CA8" w:rsidP="008F7CA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1770" w:type="dxa"/>
          </w:tcPr>
          <w:p w:rsidR="008F7CA8" w:rsidRDefault="008F7CA8" w:rsidP="008F7CA8">
            <w:pPr>
              <w:rPr>
                <w:lang w:val="en-US"/>
              </w:rPr>
            </w:pPr>
            <w:r w:rsidRPr="008F7CA8">
              <w:rPr>
                <w:lang w:val="en-US"/>
              </w:rPr>
              <w:t>61,296,357</w:t>
            </w:r>
          </w:p>
        </w:tc>
        <w:tc>
          <w:tcPr>
            <w:tcW w:w="1825" w:type="dxa"/>
          </w:tcPr>
          <w:p w:rsidR="008F7CA8" w:rsidRDefault="008F7CA8" w:rsidP="008F7CA8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640" w:type="dxa"/>
          </w:tcPr>
          <w:p w:rsidR="008F7CA8" w:rsidRPr="00A1569A" w:rsidRDefault="005D2ACF" w:rsidP="008F7CA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0.8139</w:t>
            </w:r>
          </w:p>
        </w:tc>
        <w:tc>
          <w:tcPr>
            <w:tcW w:w="1717" w:type="dxa"/>
          </w:tcPr>
          <w:p w:rsidR="008F7CA8" w:rsidRPr="00A1569A" w:rsidRDefault="005D2ACF" w:rsidP="008F7CA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0.8314</w:t>
            </w:r>
          </w:p>
        </w:tc>
      </w:tr>
      <w:tr w:rsidR="008F7CA8" w:rsidTr="008F7CA8">
        <w:tc>
          <w:tcPr>
            <w:tcW w:w="2064" w:type="dxa"/>
          </w:tcPr>
          <w:p w:rsidR="008F7CA8" w:rsidRDefault="008F7CA8" w:rsidP="008F7CA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1770" w:type="dxa"/>
          </w:tcPr>
          <w:p w:rsidR="008F7CA8" w:rsidRDefault="008F7CA8" w:rsidP="008F7CA8">
            <w:pPr>
              <w:rPr>
                <w:lang w:val="en-US"/>
              </w:rPr>
            </w:pPr>
            <w:r w:rsidRPr="008F7CA8">
              <w:rPr>
                <w:lang w:val="en-US"/>
              </w:rPr>
              <w:t>61,296,357</w:t>
            </w:r>
          </w:p>
        </w:tc>
        <w:tc>
          <w:tcPr>
            <w:tcW w:w="1825" w:type="dxa"/>
          </w:tcPr>
          <w:p w:rsidR="008F7CA8" w:rsidRDefault="008F7CA8" w:rsidP="008F7CA8">
            <w:pPr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640" w:type="dxa"/>
          </w:tcPr>
          <w:p w:rsidR="008F7CA8" w:rsidRDefault="00A1569A" w:rsidP="008F7CA8">
            <w:pPr>
              <w:rPr>
                <w:lang w:val="en-US"/>
              </w:rPr>
            </w:pPr>
            <w:r w:rsidRPr="00A1569A">
              <w:rPr>
                <w:lang w:val="en-US"/>
              </w:rPr>
              <w:t>0.8015</w:t>
            </w:r>
          </w:p>
        </w:tc>
        <w:tc>
          <w:tcPr>
            <w:tcW w:w="1717" w:type="dxa"/>
          </w:tcPr>
          <w:p w:rsidR="008F7CA8" w:rsidRDefault="00A1569A" w:rsidP="008F7CA8">
            <w:pPr>
              <w:rPr>
                <w:lang w:val="en-US"/>
              </w:rPr>
            </w:pPr>
            <w:r w:rsidRPr="00A1569A">
              <w:rPr>
                <w:lang w:val="en-US"/>
              </w:rPr>
              <w:t>0.8051</w:t>
            </w:r>
          </w:p>
        </w:tc>
      </w:tr>
    </w:tbl>
    <w:p w:rsidR="008F7CA8" w:rsidRDefault="008F7CA8" w:rsidP="008F7CA8">
      <w:pPr>
        <w:rPr>
          <w:lang w:val="en-US"/>
        </w:rPr>
      </w:pPr>
    </w:p>
    <w:p w:rsidR="005D2ACF" w:rsidRDefault="005D2ACF" w:rsidP="008F7CA8">
      <w:pPr>
        <w:rPr>
          <w:lang w:val="en-US"/>
        </w:rPr>
      </w:pPr>
      <w:r>
        <w:rPr>
          <w:lang w:val="en-US"/>
        </w:rPr>
        <w:t xml:space="preserve">The Short configuration, when trained with the Adam optimizer, results in a mIoU of </w:t>
      </w:r>
      <w:r w:rsidRPr="005D2ACF">
        <w:rPr>
          <w:b/>
          <w:lang w:val="en-US"/>
        </w:rPr>
        <w:t>0.5455</w:t>
      </w:r>
      <w:r>
        <w:rPr>
          <w:lang w:val="en-US"/>
        </w:rPr>
        <w:t xml:space="preserve"> over the validation set. The pixel-wise classification report over the validation set is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D2ACF" w:rsidTr="005D2ACF"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</w:p>
        </w:tc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F1-Score</w:t>
            </w:r>
          </w:p>
        </w:tc>
        <w:tc>
          <w:tcPr>
            <w:tcW w:w="1804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</w:tr>
      <w:tr w:rsidR="005D2ACF" w:rsidTr="005D2ACF"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  <w:tc>
          <w:tcPr>
            <w:tcW w:w="1804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4680386</w:t>
            </w:r>
          </w:p>
        </w:tc>
      </w:tr>
      <w:tr w:rsidR="005D2ACF" w:rsidTr="005D2ACF"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804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34296074</w:t>
            </w:r>
          </w:p>
        </w:tc>
      </w:tr>
      <w:tr w:rsidR="005D2ACF" w:rsidTr="005D2ACF"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804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30201961</w:t>
            </w:r>
          </w:p>
        </w:tc>
      </w:tr>
      <w:tr w:rsidR="005D2ACF" w:rsidTr="005D2ACF"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</w:t>
            </w:r>
          </w:p>
        </w:tc>
        <w:tc>
          <w:tcPr>
            <w:tcW w:w="1804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387079</w:t>
            </w:r>
          </w:p>
        </w:tc>
      </w:tr>
      <w:tr w:rsidR="005D2ACF" w:rsidTr="005D2ACF"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1804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18580420</w:t>
            </w:r>
          </w:p>
        </w:tc>
      </w:tr>
      <w:tr w:rsidR="005D2ACF" w:rsidTr="005D2ACF"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5409" w:type="dxa"/>
            <w:gridSpan w:val="3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804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88145920</w:t>
            </w:r>
          </w:p>
        </w:tc>
      </w:tr>
      <w:tr w:rsidR="005D2ACF" w:rsidTr="005D2ACF"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Macro Avg.</w:t>
            </w:r>
          </w:p>
        </w:tc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804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88145920</w:t>
            </w:r>
          </w:p>
        </w:tc>
      </w:tr>
      <w:tr w:rsidR="005D2ACF" w:rsidTr="005D2ACF"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Weighted Avg.</w:t>
            </w:r>
          </w:p>
        </w:tc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8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804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88145920</w:t>
            </w:r>
          </w:p>
        </w:tc>
      </w:tr>
    </w:tbl>
    <w:p w:rsidR="005D2ACF" w:rsidRDefault="005D2ACF" w:rsidP="008F7CA8">
      <w:pPr>
        <w:rPr>
          <w:lang w:val="en-US"/>
        </w:rPr>
      </w:pPr>
      <w:r>
        <w:rPr>
          <w:lang w:val="en-US"/>
        </w:rPr>
        <w:t xml:space="preserve"> </w:t>
      </w:r>
    </w:p>
    <w:p w:rsidR="005D2ACF" w:rsidRDefault="005D2ACF" w:rsidP="008F7CA8">
      <w:pPr>
        <w:rPr>
          <w:lang w:val="en-US"/>
        </w:rPr>
      </w:pPr>
      <w:r>
        <w:rPr>
          <w:lang w:val="en-US"/>
        </w:rPr>
        <w:t xml:space="preserve">The confusion matrix for the pixel-wise classification over the validation set is in the table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D2ACF" w:rsidTr="005D2ACF">
        <w:tc>
          <w:tcPr>
            <w:tcW w:w="1502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</w:p>
        </w:tc>
        <w:tc>
          <w:tcPr>
            <w:tcW w:w="7514" w:type="dxa"/>
            <w:gridSpan w:val="5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Predicted</w:t>
            </w:r>
          </w:p>
        </w:tc>
      </w:tr>
      <w:tr w:rsidR="005D2ACF" w:rsidTr="005D2ACF">
        <w:tc>
          <w:tcPr>
            <w:tcW w:w="1502" w:type="dxa"/>
            <w:vMerge w:val="restart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502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2395269</w:t>
            </w:r>
          </w:p>
        </w:tc>
        <w:tc>
          <w:tcPr>
            <w:tcW w:w="15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1531856</w:t>
            </w:r>
          </w:p>
        </w:tc>
        <w:tc>
          <w:tcPr>
            <w:tcW w:w="15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718694</w:t>
            </w:r>
          </w:p>
        </w:tc>
        <w:tc>
          <w:tcPr>
            <w:tcW w:w="15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34567</w:t>
            </w:r>
          </w:p>
        </w:tc>
      </w:tr>
      <w:tr w:rsidR="005D2ACF" w:rsidTr="005D2ACF">
        <w:tc>
          <w:tcPr>
            <w:tcW w:w="1502" w:type="dxa"/>
            <w:vMerge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728794</w:t>
            </w:r>
          </w:p>
        </w:tc>
        <w:tc>
          <w:tcPr>
            <w:tcW w:w="15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27670630</w:t>
            </w:r>
          </w:p>
        </w:tc>
        <w:tc>
          <w:tcPr>
            <w:tcW w:w="15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5763501</w:t>
            </w:r>
          </w:p>
        </w:tc>
        <w:tc>
          <w:tcPr>
            <w:tcW w:w="15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133149</w:t>
            </w:r>
          </w:p>
        </w:tc>
      </w:tr>
      <w:tr w:rsidR="005D2ACF" w:rsidTr="005D2ACF">
        <w:tc>
          <w:tcPr>
            <w:tcW w:w="1502" w:type="dxa"/>
            <w:vMerge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263935</w:t>
            </w:r>
          </w:p>
        </w:tc>
        <w:tc>
          <w:tcPr>
            <w:tcW w:w="15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4627931</w:t>
            </w:r>
          </w:p>
        </w:tc>
        <w:tc>
          <w:tcPr>
            <w:tcW w:w="15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25112097</w:t>
            </w:r>
          </w:p>
        </w:tc>
        <w:tc>
          <w:tcPr>
            <w:tcW w:w="15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197998</w:t>
            </w:r>
          </w:p>
        </w:tc>
      </w:tr>
      <w:tr w:rsidR="005D2ACF" w:rsidTr="005D2ACF">
        <w:tc>
          <w:tcPr>
            <w:tcW w:w="1502" w:type="dxa"/>
            <w:vMerge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906</w:t>
            </w:r>
          </w:p>
        </w:tc>
        <w:tc>
          <w:tcPr>
            <w:tcW w:w="15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180588</w:t>
            </w:r>
          </w:p>
        </w:tc>
        <w:tc>
          <w:tcPr>
            <w:tcW w:w="15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123188</w:t>
            </w:r>
          </w:p>
        </w:tc>
        <w:tc>
          <w:tcPr>
            <w:tcW w:w="15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82397</w:t>
            </w:r>
          </w:p>
        </w:tc>
      </w:tr>
      <w:tr w:rsidR="005D2ACF" w:rsidTr="005D2ACF">
        <w:tc>
          <w:tcPr>
            <w:tcW w:w="1502" w:type="dxa"/>
            <w:vMerge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30706</w:t>
            </w:r>
          </w:p>
        </w:tc>
        <w:tc>
          <w:tcPr>
            <w:tcW w:w="15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172703</w:t>
            </w:r>
          </w:p>
        </w:tc>
        <w:tc>
          <w:tcPr>
            <w:tcW w:w="15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261916</w:t>
            </w:r>
          </w:p>
        </w:tc>
        <w:tc>
          <w:tcPr>
            <w:tcW w:w="15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:rsidR="005D2ACF" w:rsidRDefault="005D2ACF" w:rsidP="005D2ACF">
            <w:pPr>
              <w:jc w:val="center"/>
              <w:rPr>
                <w:lang w:val="en-US"/>
              </w:rPr>
            </w:pPr>
            <w:r w:rsidRPr="005D2ACF">
              <w:rPr>
                <w:lang w:val="en-US"/>
              </w:rPr>
              <w:t>18115095</w:t>
            </w:r>
          </w:p>
        </w:tc>
      </w:tr>
    </w:tbl>
    <w:p w:rsidR="005D2ACF" w:rsidRDefault="005D2ACF" w:rsidP="005D2ACF">
      <w:pPr>
        <w:rPr>
          <w:lang w:val="en-US"/>
        </w:rPr>
      </w:pPr>
    </w:p>
    <w:p w:rsidR="003432F1" w:rsidRPr="005D2ACF" w:rsidRDefault="003432F1" w:rsidP="005D2ACF">
      <w:pPr>
        <w:rPr>
          <w:lang w:val="en-US"/>
        </w:rPr>
      </w:pPr>
      <w:bookmarkStart w:id="0" w:name="_GoBack"/>
      <w:bookmarkEnd w:id="0"/>
    </w:p>
    <w:sectPr w:rsidR="003432F1" w:rsidRPr="005D2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E6492"/>
    <w:multiLevelType w:val="hybridMultilevel"/>
    <w:tmpl w:val="DDA6E464"/>
    <w:lvl w:ilvl="0" w:tplc="DA2C46C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33BD8"/>
    <w:multiLevelType w:val="hybridMultilevel"/>
    <w:tmpl w:val="95381288"/>
    <w:lvl w:ilvl="0" w:tplc="DA2C46C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A8"/>
    <w:rsid w:val="00213ED8"/>
    <w:rsid w:val="00242544"/>
    <w:rsid w:val="003432F1"/>
    <w:rsid w:val="003D49BC"/>
    <w:rsid w:val="00433FE2"/>
    <w:rsid w:val="005D2ACF"/>
    <w:rsid w:val="00741A42"/>
    <w:rsid w:val="008F7CA8"/>
    <w:rsid w:val="00A04BBC"/>
    <w:rsid w:val="00A1569A"/>
    <w:rsid w:val="00D46E64"/>
    <w:rsid w:val="00D6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29F46-D292-4246-AD3E-D5124844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A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56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6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abs/1505.0459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CE2D68-EC95-4291-9ACD-0EF455826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2023-07-13T08:26:00Z</dcterms:created>
  <dcterms:modified xsi:type="dcterms:W3CDTF">2023-07-18T06:49:00Z</dcterms:modified>
</cp:coreProperties>
</file>