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Онлайн платформа для изучения процедурной генерации.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Цель и границы</w:t>
      </w:r>
    </w:p>
    <w:p>
      <w:pPr>
        <w:spacing w:after="120"/>
        <w:jc w:val="left"/>
      </w:pPr>
      <w:r>
        <w:t xml:space="preserve">Основной целью проекта является разработка программного комплекса, состоящего из программной библиотеки на языке C# для процедурной генерации двумерных данных и веб-клиента для визуализации и исследования результатов генерации.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Система должна обеспечивать детерминированную генерацию карт на основе заданных параметров и предоставлять возможности экспорта данных в распространенные форматы.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1.1. Входит в проект: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Разработка библиотеки (Core Library)</w:t>
      </w:r>
    </w:p>
    <w:p>
      <w:pPr>
        <w:spacing w:after="100"/>
        <w:ind w:left="240"/>
        <w:jc w:val="left"/>
      </w:pPr>
      <w:r>
        <w:t xml:space="preserve">2. </w:t>
      </w:r>
      <w:r>
        <w:t xml:space="preserve">Разработка веб-клиента (Web Client)</w:t>
      </w:r>
    </w:p>
    <w:p>
      <w:pPr>
        <w:spacing w:after="100"/>
        <w:ind w:left="240"/>
        <w:jc w:val="left"/>
      </w:pPr>
      <w:r>
        <w:t xml:space="preserve">3. </w:t>
      </w:r>
      <w:r>
        <w:t xml:space="preserve">Интеграция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1.2. НЕ входит: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Генерация трехмерных структур.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Система аутентификации и учета пользовательских данных (сохранение истории генераций на сервере).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Редактирование сгенерированных карт вручную (террейн-editing).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Модель предметной области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Генератор (Generator):</w:t>
      </w:r>
      <w:r>
        <w:t xml:space="preserve"> Абстрактный компонент, отвечающий за создание двумерного массива данных на основе заданного алгоритма.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Алгоритм генерации (Generation Algorithm):</w:t>
      </w:r>
      <w:r>
        <w:t xml:space="preserve"> Конкретная математическая или логическая модель, используемая генератором. В рамках проекта поддерживаются: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Градиентный шум: Алгоритмы Перлина (Perlin Noise) и Симплекса (Simplex Noise).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Многооктавный шум: Комбинация нескольких слоев шума с различными частотами и амплитудами.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Клеточные автоматы: Дискретная модель, эволюционирующая по заданным правилам соседства.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Зерно (Seed):</w:t>
      </w:r>
      <w:r>
        <w:t xml:space="preserve"> Целочисленное значение, инициирующее генератор псевдослучайных чисел. Гарантирует воспроизводимость результата: одинаковое зерно при идентичных параметрах дает идентичную карту.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Карта (Map):</w:t>
      </w:r>
      <w:r>
        <w:t xml:space="preserve"> Двумерная структура данных (матрица), содержащая значения ячеек. Значения могут представлять высоту, тип местности или бинарное состояние (для клеточных автоматов).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Параметры генерации (Generation Parameters):</w:t>
      </w:r>
      <w:r>
        <w:t xml:space="preserve"> Набор настроек, влияющих на ход алгоритма (например, количество октав,persistense, пороговые значения для клеточных автоматов, размер сетки).</w:t>
      </w:r>
    </w:p>
    <w:p>
      <w:pPr>
        <w:spacing w:after="100"/>
        <w:ind w:left="240"/>
        <w:jc w:val="left"/>
      </w:pPr>
      <w:r>
        <w:t xml:space="preserve">6. </w:t>
      </w:r>
      <w:r>
        <w:rPr>
          <w:b/>
          <w:bCs/>
        </w:rPr>
        <w:t xml:space="preserve">Формат экспорта (Export Format):</w:t>
      </w:r>
      <w:r>
        <w:t xml:space="preserve"> Стандарт представления данных для внешнего использования. Поддерживаются: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i/>
          <w:iCs/>
        </w:rPr>
        <w:t xml:space="preserve">Растровые изображения:</w:t>
      </w:r>
      <w:r>
        <w:t xml:space="preserve"> JPEG, PNG (визуальное представление).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i/>
          <w:iCs/>
        </w:rPr>
        <w:t xml:space="preserve">Табличные данные:</w:t>
      </w:r>
      <w:r>
        <w:t xml:space="preserve"> CSV (числовое представление значений ячеек).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Архитектурные решения и паттерны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3.1. Архитектура</w:t>
      </w:r>
    </w:p>
    <w:p>
      <w:pPr>
        <w:spacing w:after="120"/>
        <w:jc w:val="left"/>
      </w:pPr>
      <w:r>
        <w:t xml:space="preserve">Проект реализуется с использованием многоуровневой архитектуры (Layered Architecture), обеспечивающей разделение ответственности между логикой генерации, бизнес-логикой обработки запросов и пользовательским интерфейсом.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Уровень ядра (Core Layer):</w:t>
      </w:r>
      <w:r>
        <w:t xml:space="preserve"> Библиотека классов .NET (Class Library), содержащая реализацию алгоритмов генерации и экспорта. Не имеет зависимостей от пользовательского интерфейса.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Уровень доступа к данным и сервисов (Service Layer):</w:t>
      </w:r>
      <w:r>
        <w:t xml:space="preserve"> Обертка над библиотекой для управления состоянием генерации, валидации параметров и orchestration процессов экспорта.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Уровень представления (Presentation Layer):</w:t>
      </w:r>
      <w:r>
        <w:t xml:space="preserve"> Веб-клиент, предоставляющий интерфейс пользователю. Рекомендуется использование технологии Blazor WebAssembly для возможности выполнения логики генерации непосредственно на стороне клиента (что снижает нагрузку на сервер и обеспечивает мгновенный отклик) либо ASP.NET Core Web API с любым SPA-фреймворком.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3.2. Паттерны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Стратегия (Strategy):</w:t>
      </w:r>
      <w:r>
        <w:br/>
      </w:r>
      <w:r>
        <w:t xml:space="preserve"> Применение: Используется для реализации различных алгоритмов генерации (Перлин, Симплекс, Клеточные автоматы).</w:t>
      </w:r>
      <w:r>
        <w:br/>
      </w:r>
      <w:r>
        <w:t xml:space="preserve"> Позволяет инкапсулировать семейство алгоритмов и делать их взаимозаменяемыми во время выполнения через общий интерфейс </w:t>
      </w:r>
      <w:r>
        <w:rPr>
          <w:rFonts w:ascii="Courier New" w:cs="Courier New" w:eastAsia="Courier New" w:hAnsi="Courier New"/>
          <w:shd w:fill="F1F5F9" w:color="auto" w:val="clear"/>
        </w:rPr>
        <w:t xml:space="preserve">IGenerator</w:t>
      </w:r>
      <w:r>
        <w:t xml:space="preserve">.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Фабричный метод (Factory Method):</w:t>
      </w:r>
      <w:r>
        <w:br/>
      </w:r>
      <w:r>
        <w:t xml:space="preserve"> Применение: Создание экземпляров генераторов на основе выбора пользователя.</w:t>
      </w:r>
      <w:r>
        <w:br/>
      </w:r>
      <w:r>
        <w:t xml:space="preserve"> Централизует логику создания объектов генерации и их первоначальной настройки.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Команда (Command)</w:t>
      </w:r>
      <w:r>
        <w:br/>
      </w:r>
      <w:r>
        <w:t xml:space="preserve"> Применение: Инкапсуляция запроса на генерацию с определенными параметрами.</w:t>
      </w:r>
      <w:r>
        <w:br/>
      </w:r>
      <w:r>
        <w:t xml:space="preserve"> Позволяет параметризовать объекты и поддерживать историю операций (для возможной реализации Undo/Redo в будущем).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Функциональные требования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55"/>
        <w:gridCol w:w="2591"/>
        <w:gridCol w:w="50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Идентификатор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FR-LIB-01</w:t>
            </w:r>
          </w:p>
        </w:tc>
        <w:tc>
          <w:p>
            <w:pPr>
              <w:jc w:val="left"/>
            </w:pPr>
            <w:r>
              <w:t xml:space="preserve">Реализация алгоритмов шума</w:t>
            </w:r>
          </w:p>
        </w:tc>
        <w:tc>
          <w:p>
            <w:pPr>
              <w:jc w:val="left"/>
            </w:pPr>
            <w:r>
              <w:t xml:space="preserve">Библиотека должна содержать реализацию алгоритмов градиентного шума Перлина (Perlin Noise) и Симплекса (Simplex Noise).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FR-LIB-02</w:t>
            </w:r>
          </w:p>
        </w:tc>
        <w:tc>
          <w:p>
            <w:pPr>
              <w:jc w:val="left"/>
            </w:pPr>
            <w:r>
              <w:t xml:space="preserve">Реализация многооктавного шума</w:t>
            </w:r>
          </w:p>
        </w:tc>
        <w:tc>
          <w:p>
            <w:pPr>
              <w:jc w:val="left"/>
            </w:pPr>
            <w:r>
              <w:t xml:space="preserve">Библиотека должна поддерживать генерацию многооктавного шума с настраиваемыми параметрами частоты и амплитуды.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FR-LIB-03</w:t>
            </w:r>
          </w:p>
        </w:tc>
        <w:tc>
          <w:p>
            <w:pPr>
              <w:jc w:val="left"/>
            </w:pPr>
            <w:r>
              <w:t xml:space="preserve">Реализация клеточных автоматов</w:t>
            </w:r>
          </w:p>
        </w:tc>
        <w:tc>
          <w:p>
            <w:pPr>
              <w:jc w:val="left"/>
            </w:pPr>
            <w:r>
              <w:t xml:space="preserve">Библиотека должна включать алгоритм клеточных автоматов с возможностью настройки правил рождения и смерти клеток.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FR-LIB-04</w:t>
            </w:r>
          </w:p>
        </w:tc>
        <w:tc>
          <w:p>
            <w:pPr>
              <w:jc w:val="left"/>
            </w:pPr>
            <w:r>
              <w:t xml:space="preserve">Детерминированная генерация</w:t>
            </w:r>
          </w:p>
        </w:tc>
        <w:tc>
          <w:p>
            <w:pPr>
              <w:jc w:val="left"/>
            </w:pPr>
            <w:r>
              <w:t xml:space="preserve">Генерация карты должна строго зависеть от входного зерна (seed). Identical входные данные (зерно, алгоритм, параметры) должны всегда приводить к идентичному результату.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FR-LIB-05</w:t>
            </w:r>
          </w:p>
        </w:tc>
        <w:tc>
          <w:p>
            <w:pPr>
              <w:jc w:val="left"/>
            </w:pPr>
            <w:r>
              <w:t xml:space="preserve">Конфигурирование параметров</w:t>
            </w:r>
          </w:p>
        </w:tc>
        <w:tc>
          <w:p>
            <w:pPr>
              <w:jc w:val="left"/>
            </w:pPr>
            <w:r>
              <w:t xml:space="preserve">Библиотека должна предоставлять интерфейс для установки параметров генерации (размер карты, зерно, специфические параметры алгоритма).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FR-LIB-06</w:t>
            </w:r>
          </w:p>
        </w:tc>
        <w:tc>
          <w:p>
            <w:pPr>
              <w:jc w:val="left"/>
            </w:pPr>
            <w:r>
              <w:t xml:space="preserve">Экспорт данных</w:t>
            </w:r>
          </w:p>
        </w:tc>
        <w:tc>
          <w:p>
            <w:pPr>
              <w:jc w:val="left"/>
            </w:pPr>
            <w:r>
              <w:t xml:space="preserve">Библиотека должна предоставлять методы для экспорта сгенерированных данных в форматы JPEG, PNG и CSV.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FR-WEB-01</w:t>
            </w:r>
          </w:p>
        </w:tc>
        <w:tc>
          <w:p>
            <w:pPr>
              <w:jc w:val="left"/>
            </w:pPr>
            <w:r>
              <w:t xml:space="preserve">Выбор алгоритма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FR-WEB-02</w:t>
            </w:r>
          </w:p>
        </w:tc>
        <w:tc>
          <w:p>
            <w:pPr>
              <w:jc w:val="left"/>
            </w:pPr>
            <w:r>
              <w:t xml:space="preserve">Ввод параметров</w:t>
            </w:r>
          </w:p>
        </w:tc>
        <w:tc>
          <w:p>
            <w:pPr>
              <w:jc w:val="left"/>
            </w:pPr>
            <w:r>
              <w:t xml:space="preserve">Интерфейс должен содержать элементы управления для ввода зерна (seed) и настройки параметров выбранного алгоритма.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FR-WEB-03</w:t>
            </w:r>
          </w:p>
        </w:tc>
        <w:tc>
          <w:p>
            <w:pPr>
              <w:jc w:val="left"/>
            </w:pPr>
            <w:r>
              <w:t xml:space="preserve">Визуализация карты</w:t>
            </w:r>
          </w:p>
        </w:tc>
        <w:tc>
          <w:p>
            <w:pPr>
              <w:jc w:val="left"/>
            </w:pPr>
            <w:r>
              <w:t xml:space="preserve">Система должна отображать сгенерированную двумерную карту в виде графического изображения в области просмотра веб-клиента.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FR-WEB-04</w:t>
            </w:r>
          </w:p>
        </w:tc>
        <w:tc>
          <w:p>
            <w:pPr>
              <w:jc w:val="left"/>
            </w:pPr>
            <w:r>
              <w:t xml:space="preserve">Повторная генерация</w:t>
            </w:r>
          </w:p>
        </w:tc>
        <w:tc>
          <w:p>
            <w:pPr>
              <w:jc w:val="left"/>
            </w:pPr>
            <w:r>
              <w:t xml:space="preserve">Пользователь должен иметь возможность инициировать повторную генерацию карты без перезагрузки страницы путем изменения параметров и нажатия кнопки «Сгенерировать».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FR-WEB-05</w:t>
            </w:r>
          </w:p>
        </w:tc>
        <w:tc>
          <w:p>
            <w:pPr>
              <w:jc w:val="left"/>
            </w:pPr>
            <w:r>
              <w:t xml:space="preserve">Скачивание файлов</w:t>
            </w:r>
          </w:p>
        </w:tc>
        <w:tc>
          <w:p>
            <w:pPr>
              <w:jc w:val="left"/>
            </w:pPr>
            <w:r>
              <w:t xml:space="preserve">Пользователь должен иметь возможность скачать результат генерации в форматах JPEG, PNG или CSV через интерфейс клиента.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FR-WEB-06</w:t>
            </w:r>
          </w:p>
        </w:tc>
        <w:tc>
          <w:p>
            <w:pPr>
              <w:jc w:val="left"/>
            </w:pPr>
            <w:r>
              <w:t xml:space="preserve">Индикация состояния</w:t>
            </w:r>
          </w:p>
        </w:tc>
        <w:tc>
          <w:p>
            <w:pPr>
              <w:jc w:val="left"/>
            </w:pPr>
            <w:r>
              <w:t xml:space="preserve">Интерфейс должен отображать индикатор процесса генерации (например, спиннер или прогресс-бар) во время выполнения вычислений.</w:t>
            </w:r>
          </w:p>
        </w:tc>
      </w:tr>
    </w:tbl>
    <w:p>
      <w:pPr>
        <w:pStyle w:val="Heading2"/>
        <w:spacing w:after="200"/>
        <w:jc w:val="left"/>
      </w:pPr>
      <w:r>
        <w:t xml:space="preserve">5. Нефункциональные требования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1"/>
        <w:gridCol w:w="2530"/>
        <w:gridCol w:w="50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Идентификатор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Требование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NFR-PER-01</w:t>
            </w:r>
          </w:p>
        </w:tc>
        <w:tc>
          <w:p>
            <w:pPr>
              <w:jc w:val="left"/>
            </w:pPr>
            <w:r>
              <w:t xml:space="preserve">Время генерации</w:t>
            </w:r>
          </w:p>
        </w:tc>
        <w:tc>
          <w:p>
            <w:pPr>
              <w:jc w:val="left"/>
            </w:pPr>
            <w:r>
              <w:t xml:space="preserve">Время генерации карты стандартного размера (например, 512x512 пикселей) не должно превышать 2 секунд на клиентском устройстве среднего класса.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NFR-PER-02</w:t>
            </w:r>
          </w:p>
        </w:tc>
        <w:tc>
          <w:p>
            <w:pPr>
              <w:jc w:val="left"/>
            </w:pPr>
            <w:r>
              <w:t xml:space="preserve">Отклик интерфейса</w:t>
            </w:r>
          </w:p>
        </w:tc>
        <w:tc>
          <w:p>
            <w:pPr>
              <w:jc w:val="left"/>
            </w:pPr>
            <w:r>
              <w:t xml:space="preserve">Пользовательский интерфейс должен оставаться отзывчивым во время процесса генерации (асинхронное выполнение операций).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NFR-PER-03</w:t>
            </w:r>
          </w:p>
        </w:tc>
        <w:tc>
          <w:p>
            <w:pPr>
              <w:jc w:val="left"/>
            </w:pPr>
            <w:r>
              <w:t xml:space="preserve">Размер экспортируемых файлов</w:t>
            </w:r>
          </w:p>
        </w:tc>
        <w:tc>
          <w:p>
            <w:pPr>
              <w:jc w:val="left"/>
            </w:pPr>
            <w:r>
              <w:t xml:space="preserve">Генерируемые файлы изображений должны быть оптимизированы по размеру без критической потери качества визуализации.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NFR-REL-01</w:t>
            </w:r>
          </w:p>
        </w:tc>
        <w:tc>
          <w:p>
            <w:pPr>
              <w:jc w:val="left"/>
            </w:pPr>
            <w:r>
              <w:t xml:space="preserve">Воспроизводимость</w:t>
            </w:r>
          </w:p>
        </w:tc>
        <w:tc>
          <w:p>
            <w:pPr>
              <w:jc w:val="left"/>
            </w:pPr>
            <w:r>
              <w:t xml:space="preserve">Гарантия воспроизводимости результата при использовании одинакового зерна и параметров на разных платформах выполнения .NET.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NFR-REL-02</w:t>
            </w:r>
          </w:p>
        </w:tc>
        <w:tc>
          <w:p>
            <w:pPr>
              <w:jc w:val="left"/>
            </w:pPr>
            <w:r>
              <w:t xml:space="preserve">Обработка ошибок</w:t>
            </w:r>
          </w:p>
        </w:tc>
        <w:tc>
          <w:p>
            <w:pPr>
              <w:jc w:val="left"/>
            </w:pPr>
            <w:r>
              <w:t xml:space="preserve">Система должна корректно обрабатывать некорректные входные данные (например, отрицательный размер карты) без аварийного завершения, выводя понятное сообщение пользователю.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NFR-REL-03</w:t>
            </w:r>
          </w:p>
        </w:tc>
        <w:tc>
          <w:p>
            <w:pPr>
              <w:jc w:val="left"/>
            </w:pPr>
            <w:r>
              <w:t xml:space="preserve">Целостность данных</w:t>
            </w:r>
          </w:p>
        </w:tc>
        <w:tc>
          <w:p>
            <w:pPr>
              <w:jc w:val="left"/>
            </w:pPr>
            <w:r>
              <w:t xml:space="preserve">Экспортируемые файлы (CSV, изображения) не должны содержать повреждений данных или артефактов записи.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NFR-USA-01</w:t>
            </w:r>
          </w:p>
        </w:tc>
        <w:tc>
          <w:p>
            <w:pPr>
              <w:jc w:val="left"/>
            </w:pPr>
            <w:r>
              <w:t xml:space="preserve">Интуитивность</w:t>
            </w:r>
          </w:p>
        </w:tc>
        <w:tc>
          <w:p>
            <w:pPr>
              <w:jc w:val="left"/>
            </w:pPr>
            <w:r>
              <w:t xml:space="preserve">Интерфейс веб-клиента должен быть интуитивно понятным пользователю без необходимости изучения документации.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NFR-USA-02</w:t>
            </w:r>
          </w:p>
        </w:tc>
        <w:tc>
          <w:p>
            <w:pPr>
              <w:jc w:val="left"/>
            </w:pPr>
            <w:r>
              <w:t xml:space="preserve">Адаптивность</w:t>
            </w:r>
          </w:p>
        </w:tc>
        <w:tc>
          <w:p>
            <w:pPr>
              <w:jc w:val="left"/>
            </w:pPr>
            <w:r>
              <w:t xml:space="preserve">Веб-клиент должен корректно отображаться на экранах с различным разрешением (desktop, tablet).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NFR-USA-03</w:t>
            </w:r>
          </w:p>
        </w:tc>
        <w:tc>
          <w:p>
            <w:pPr>
              <w:jc w:val="left"/>
            </w:pPr>
            <w:r>
              <w:t xml:space="preserve">Обратная связь</w:t>
            </w:r>
          </w:p>
        </w:tc>
        <w:tc>
          <w:p>
            <w:pPr>
              <w:jc w:val="left"/>
            </w:pPr>
            <w:r>
              <w:t xml:space="preserve">При успешном экспорте файла пользователь должен получать соответствующее уведомление.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NFR-COM-01</w:t>
            </w:r>
          </w:p>
        </w:tc>
        <w:tc>
          <w:p>
            <w:pPr>
              <w:jc w:val="left"/>
            </w:pPr>
            <w:r>
              <w:t xml:space="preserve">Поддержка браузеров</w:t>
            </w:r>
          </w:p>
        </w:tc>
        <w:tc>
          <w:p>
            <w:pPr>
              <w:jc w:val="left"/>
            </w:pPr>
            <w:r>
              <w:t xml:space="preserve">Веб-клиент должен корректно функционировать в актуальных версиях браузеров Chrome, Firefox, Edge и Safari.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NFR-COM-02</w:t>
            </w:r>
          </w:p>
        </w:tc>
        <w:tc>
          <w:p>
            <w:pPr>
              <w:jc w:val="left"/>
            </w:pPr>
            <w:r>
              <w:t xml:space="preserve">Платформа .NET</w:t>
            </w:r>
          </w:p>
        </w:tc>
        <w:tc>
          <w:p>
            <w:pPr>
              <w:jc w:val="left"/>
            </w:pPr>
            <w:r>
              <w:t xml:space="preserve">Библиотека должна быть совместима с .NET 6 или выше и поддерживать кроссплатформенное выполнение (Windows, Linux, macOS).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NFR-COM-03</w:t>
            </w:r>
          </w:p>
        </w:tc>
        <w:tc>
          <w:p>
            <w:pPr>
              <w:jc w:val="left"/>
            </w:pPr>
            <w:r>
              <w:t xml:space="preserve">Форматы файлов</w:t>
            </w:r>
          </w:p>
        </w:tc>
        <w:tc>
          <w:p>
            <w:pPr>
              <w:jc w:val="left"/>
            </w:pPr>
            <w:r>
              <w:t xml:space="preserve">Экспортируемые файлы должны открываться стандартными системными средствами просмотра изображений и табличными редакторами.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NFR-MNT-01</w:t>
            </w:r>
          </w:p>
        </w:tc>
        <w:tc>
          <w:p>
            <w:pPr>
              <w:jc w:val="left"/>
            </w:pPr>
            <w:r>
              <w:t xml:space="preserve">Модульность</w:t>
            </w:r>
          </w:p>
        </w:tc>
        <w:tc>
          <w:p>
            <w:pPr>
              <w:jc w:val="left"/>
            </w:pPr>
            <w:r>
              <w:t xml:space="preserve">Код библиотеки должен быть модульным, с четким разделением логики алгоритмов, что позволит легко добавлять новые генераторы в будущем.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NFR-MNT-02</w:t>
            </w:r>
          </w:p>
        </w:tc>
        <w:tc>
          <w:p>
            <w:pPr>
              <w:jc w:val="left"/>
            </w:pPr>
            <w:r>
              <w:t xml:space="preserve">Документирование</w:t>
            </w:r>
          </w:p>
        </w:tc>
        <w:tc>
          <w:p>
            <w:pPr>
              <w:jc w:val="left"/>
            </w:pPr>
            <w:r>
              <w:t xml:space="preserve">Публичные API библиотеки должны быть покрыты XML-комментариями. Архитектура проекта должна быть документирована.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NFR-MNT-03</w:t>
            </w:r>
          </w:p>
        </w:tc>
        <w:tc>
          <w:p>
            <w:pPr>
              <w:jc w:val="left"/>
            </w:pPr>
            <w:r>
              <w:t xml:space="preserve">Тестируемость</w:t>
            </w:r>
          </w:p>
        </w:tc>
        <w:tc>
          <w:p>
            <w:pPr>
              <w:jc w:val="left"/>
            </w:pPr>
            <w:r>
              <w:t xml:space="preserve">Критические компоненты библиотеки (алгоритмы генерации) должны быть покрыты модульными тестами (Unit Tests) для проверки корректности и детерминизма.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NFR-SEC-01</w:t>
            </w:r>
          </w:p>
        </w:tc>
        <w:tc>
          <w:p>
            <w:pPr>
              <w:jc w:val="left"/>
            </w:pPr>
            <w:r>
              <w:t xml:space="preserve">Валидация ввода</w:t>
            </w:r>
          </w:p>
        </w:tc>
        <w:tc>
          <w:p>
            <w:pPr>
              <w:jc w:val="left"/>
            </w:pPr>
            <w:r>
              <w:t xml:space="preserve">Все входные данные, поступающие от пользователя (параметры, зерно), должны проходить валидацию на стороне клиента и/или сервера для предотвращения ошибок выполнения.</w:t>
            </w:r>
          </w:p>
        </w:tc>
      </w:tr>
    </w:tbl>
    <w:p>
      <w:pPr>
        <w:pStyle w:val="Heading2"/>
        <w:spacing w:after="200"/>
        <w:jc w:val="left"/>
      </w:pPr>
      <w:r>
        <w:t xml:space="preserve">6. План тестирования</w:t>
      </w:r>
    </w:p>
    <w:p>
      <w:pPr>
        <w:spacing w:after="100"/>
        <w:ind w:left="240"/>
        <w:jc w:val="left"/>
      </w:pPr>
      <w:r>
        <w:t xml:space="preserve">1. </w:t>
      </w:r>
      <w:r>
        <w:t xml:space="preserve">Модульное тестирование с помощью XUnit;</w:t>
      </w:r>
    </w:p>
    <w:p>
      <w:pPr>
        <w:spacing w:after="100"/>
        <w:ind w:left="240"/>
        <w:jc w:val="left"/>
      </w:pPr>
      <w:r>
        <w:t xml:space="preserve">2. </w:t>
      </w:r>
      <w:r>
        <w:t xml:space="preserve">Интеграционное тестирование библиотеки и веб-клиента;</w:t>
      </w:r>
    </w:p>
    <w:p>
      <w:pPr>
        <w:spacing w:after="100"/>
        <w:ind w:left="240"/>
        <w:jc w:val="left"/>
      </w:pPr>
      <w:r>
        <w:t xml:space="preserve">3. </w:t>
      </w:r>
      <w:r>
        <w:t xml:space="preserve">Интеграционное тестирование библиотеки и модуля экспортирования;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Алгоритмы</w:t>
      </w:r>
    </w:p>
    <w:p>
      <w:pPr>
        <w:spacing w:after="120"/>
        <w:jc w:val="left"/>
      </w:pPr>
      <w:r>
        <w:rPr>
          <w:b/>
          <w:bCs/>
        </w:rPr>
        <w:t xml:space="preserve">На основе шумов:</w:t>
      </w:r>
      <w:r>
        <w:br/>
      </w:r>
      <w:r>
        <w:t xml:space="preserve">С помощью шумов можно создавать поверхности с гладкими перепадами высот, что применимо для создания трехмерных карт и поверхностей. Можно настраивать гладкость, количество уровней (октав) и т.д.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Псевдослучайный шум;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Шум Перлина;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Октавный шум;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и т.д.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На основе клеточных автоматов:</w:t>
      </w:r>
      <w:r>
        <w:br/>
      </w:r>
      <w:r>
        <w:t xml:space="preserve">Результатом работы моделей клеточных автоматов является карта значений 0/1. В зависимости от выбора правила, сгенерированные карты могут применяться для модерирования физических процессов, генерации лабиринтов и т.д.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Игра в жизнь;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Лесной пожар;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Пещеры;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Генератор лабиринтов;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и т.д.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Шум Перлина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Параметры: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Семя (seed)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Ширина, высота (height, width) - размер карты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Масштаб (scale) - гладкость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Октавный шум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Параметры: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Семя (seed)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Ширина, высота (height, width) - размер карты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Масштаб (scale) - гладкость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Количество октав (octaves)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Устойчивость (persistance) - разница высот между октавами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Клеточный автомат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Параметры: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Семя (seed)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Ширина, высота (height, width) - размер карты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Плотность (density) - начальное заполнение карты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Правило (rule)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2026-02-27T07:16:04.472Z</dcterms:created>
  <dcterms:modified xsi:type="dcterms:W3CDTF">2026-02-27T07:16:04.472Z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