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Комерційна пропозиція</w:t>
      </w:r>
    </w:p>
    <w:p>
      <w:pPr>
        <w:pStyle w:val="Heading1"/>
      </w:pPr>
      <w:r>
        <w:t>Впровадження ECOCRM</w:t>
      </w:r>
    </w:p>
    <w:p>
      <w:r>
        <w:rPr>
          <w:b/>
        </w:rPr>
        <w:t>ECOCRM</w:t>
      </w:r>
      <w:r>
        <w:t xml:space="preserve"> - модульна CRM-система для управління продажами, клієнтами, замовленнями, комунікаціями, доставкою та польовими візитами.</w:t>
      </w:r>
    </w:p>
    <w:p>
      <w:r>
        <w:t>Пропозиція включає комплексне впровадження CRM у перший рік: налаштування продукту, міграцію даних, підключення інтеграцій та запуск команди в роботу.</w:t>
      </w:r>
    </w:p>
    <w:p>
      <w:pPr>
        <w:pStyle w:val="Heading1"/>
      </w:pPr>
      <w:r>
        <w:t>1. Мета впровадження</w:t>
      </w:r>
    </w:p>
    <w:p>
      <w:r>
        <w:t>ECOCRM допомагає компанії централізувати роботу відділу продажів і операційної команди в одній системі:</w:t>
      </w:r>
    </w:p>
    <w:p>
      <w:pPr>
        <w:pStyle w:val="ListBullet"/>
      </w:pPr>
      <w:r>
        <w:t>вести клієнтів, контакти та компанії в єдиній базі;</w:t>
      </w:r>
    </w:p>
    <w:p>
      <w:pPr>
        <w:pStyle w:val="ListBullet"/>
      </w:pPr>
      <w:r>
        <w:t>керувати лідами, замовленнями та задачами менеджерів;</w:t>
      </w:r>
    </w:p>
    <w:p>
      <w:pPr>
        <w:pStyle w:val="ListBullet"/>
      </w:pPr>
      <w:r>
        <w:t>контролювати історію взаємодій з клієнтом;</w:t>
      </w:r>
    </w:p>
    <w:p>
      <w:pPr>
        <w:pStyle w:val="ListBullet"/>
      </w:pPr>
      <w:r>
        <w:t>автоматизувати доставку, платежі та комунікації;</w:t>
      </w:r>
    </w:p>
    <w:p>
      <w:pPr>
        <w:pStyle w:val="ListBullet"/>
      </w:pPr>
      <w:r>
        <w:t>відстежувати роботу менеджерів і ключові показники продажів;</w:t>
      </w:r>
    </w:p>
    <w:p>
      <w:pPr>
        <w:pStyle w:val="ListBullet"/>
      </w:pPr>
      <w:r>
        <w:t>підготувати систему до масштабування бізнесу.</w:t>
      </w:r>
    </w:p>
    <w:p>
      <w:r>
        <w:t xml:space="preserve">CRM будується навколо </w:t>
      </w:r>
      <w:r>
        <w:rPr>
          <w:b/>
        </w:rPr>
        <w:t>замовлення</w:t>
      </w:r>
      <w:r>
        <w:t xml:space="preserve"> як ключової сутності: від першого звернення клієнта до оплати, доставки та повторних продажів.</w:t>
      </w:r>
    </w:p>
    <w:p>
      <w:pPr>
        <w:pStyle w:val="Heading1"/>
      </w:pPr>
      <w:r>
        <w:t>2. Склад ліцензії та модулів</w:t>
      </w:r>
    </w:p>
    <w:p>
      <w:r>
        <w:t>ECOCRM побудована як модульна система: базове ядро завжди включене, а додаткові модулі підключаються за потребою бізнесу.</w:t>
      </w:r>
    </w:p>
    <w:p>
      <w:r>
        <w:t>У межах цієї пропозиції (</w:t>
      </w:r>
      <w:r>
        <w:rPr>
          <w:b/>
        </w:rPr>
        <w:t>3 600 USD у перший рік</w:t>
      </w:r>
      <w:r>
        <w:t>) передбачено базове ядро CRM та наступні модулі:</w:t>
      </w:r>
    </w:p>
    <w:p>
      <w:pPr>
        <w:pStyle w:val="Heading2"/>
      </w:pPr>
      <w:r>
        <w:t>2.1. Модулі, що входять у пропозицію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EF4"/>
          </w:tcPr>
          <w:p>
            <w:r>
              <w:rPr>
                <w:b/>
              </w:rPr>
            </w:r>
            <w:r>
              <w:rPr>
                <w:b/>
              </w:rPr>
              <w:t>Модуль</w:t>
            </w:r>
          </w:p>
        </w:tc>
        <w:tc>
          <w:tcPr>
            <w:tcW w:type="dxa" w:w="2880"/>
            <w:shd w:val="clear" w:color="auto" w:fill="E8EEF4"/>
          </w:tcPr>
          <w:p>
            <w:r>
              <w:rPr>
                <w:b/>
              </w:rPr>
            </w:r>
            <w:r>
              <w:rPr>
                <w:b/>
              </w:rPr>
              <w:t>Призначення</w:t>
            </w:r>
          </w:p>
        </w:tc>
        <w:tc>
          <w:tcPr>
            <w:tcW w:type="dxa" w:w="2880"/>
            <w:shd w:val="clear" w:color="auto" w:fill="E8EEF4"/>
          </w:tcPr>
          <w:p>
            <w:r>
              <w:rPr>
                <w:b/>
              </w:rPr>
            </w:r>
            <w:r>
              <w:rPr>
                <w:b/>
              </w:rPr>
              <w:t>Що входить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Фінанси</w:t>
            </w:r>
            <w:r>
              <w:t xml:space="preserve"> (</w:t>
            </w:r>
            <w:r>
              <w:rPr>
                <w:rFonts w:ascii="Consolas" w:hAnsi="Consolas"/>
                <w:color w:val="555555"/>
                <w:sz w:val="18"/>
              </w:rPr>
              <w:t>ext.finance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>Оплати та банк</w:t>
            </w:r>
          </w:p>
        </w:tc>
        <w:tc>
          <w:tcPr>
            <w:tcW w:type="dxa" w:w="2880"/>
          </w:tcPr>
          <w:p>
            <w:r/>
            <w:r>
              <w:t>Банківські рахунки ФОП, синхронізація виписки, автоматичне та ручне зіставлення оплат із замовленнями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Польові візити</w:t>
            </w:r>
            <w:r>
              <w:t xml:space="preserve"> (</w:t>
            </w:r>
            <w:r>
              <w:rPr>
                <w:rFonts w:ascii="Consolas" w:hAnsi="Consolas"/>
                <w:color w:val="555555"/>
                <w:sz w:val="18"/>
              </w:rPr>
              <w:t>ext.visits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>Робота менеджерів у полі</w:t>
            </w:r>
          </w:p>
        </w:tc>
        <w:tc>
          <w:tcPr>
            <w:tcW w:type="dxa" w:w="2880"/>
          </w:tcPr>
          <w:p>
            <w:r/>
            <w:r>
              <w:t>Планування візитів, маршрути на карті, історія візитів, GPS-підтвердження, облік пального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Прозвон</w:t>
            </w:r>
            <w:r>
              <w:t xml:space="preserve"> (</w:t>
            </w:r>
            <w:r>
              <w:rPr>
                <w:rFonts w:ascii="Consolas" w:hAnsi="Consolas"/>
                <w:color w:val="555555"/>
                <w:sz w:val="18"/>
              </w:rPr>
              <w:t>ext.manual_calling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>Робоче місце менеджера</w:t>
            </w:r>
          </w:p>
        </w:tc>
        <w:tc>
          <w:tcPr>
            <w:tcW w:type="dxa" w:w="2880"/>
          </w:tcPr>
          <w:p>
            <w:r/>
            <w:r>
              <w:t>Черга дзвінків, історія дзвінків, структуровані результати обробки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Nova Poshta</w:t>
            </w:r>
            <w:r>
              <w:t xml:space="preserve"> (</w:t>
            </w:r>
            <w:r>
              <w:rPr>
                <w:rFonts w:ascii="Consolas" w:hAnsi="Consolas"/>
                <w:color w:val="555555"/>
                <w:sz w:val="18"/>
              </w:rPr>
              <w:t>int.nova_poshta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>Доставка</w:t>
            </w:r>
          </w:p>
        </w:tc>
        <w:tc>
          <w:tcPr>
            <w:tcW w:type="dxa" w:w="2880"/>
          </w:tcPr>
          <w:p>
            <w:r/>
            <w:r>
              <w:t>Довідники міст і відділень, створення ТТН з замовлення, кілька ТТН на часткові відправлення, автооновлення статусів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Ringostat</w:t>
            </w:r>
            <w:r>
              <w:t xml:space="preserve"> (</w:t>
            </w:r>
            <w:r>
              <w:rPr>
                <w:rFonts w:ascii="Consolas" w:hAnsi="Consolas"/>
                <w:color w:val="555555"/>
                <w:sz w:val="18"/>
              </w:rPr>
              <w:t>int.ringostat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>Телефонія</w:t>
            </w:r>
          </w:p>
        </w:tc>
        <w:tc>
          <w:tcPr>
            <w:tcW w:type="dxa" w:w="2880"/>
          </w:tcPr>
          <w:p>
            <w:r/>
            <w:r>
              <w:t>Прийом дзвінків, записи розмов, прив'язка до контактів і лідів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Telegram Inbox</w:t>
            </w:r>
            <w:r>
              <w:t xml:space="preserve"> (</w:t>
            </w:r>
            <w:r>
              <w:rPr>
                <w:rFonts w:ascii="Consolas" w:hAnsi="Consolas"/>
                <w:color w:val="555555"/>
                <w:sz w:val="18"/>
              </w:rPr>
              <w:t>int.integrations_telegram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>Комунікації</w:t>
            </w:r>
          </w:p>
        </w:tc>
        <w:tc>
          <w:tcPr>
            <w:tcW w:type="dxa" w:w="2880"/>
          </w:tcPr>
          <w:p>
            <w:r/>
            <w:r>
              <w:t>Telegram-бот для клієнтів, діалоги в CRM, відповіді з Inbox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Google Sheets</w:t>
            </w:r>
            <w:r>
              <w:t xml:space="preserve"> (</w:t>
            </w:r>
            <w:r>
              <w:rPr>
                <w:rFonts w:ascii="Consolas" w:hAnsi="Consolas"/>
                <w:color w:val="555555"/>
                <w:sz w:val="18"/>
              </w:rPr>
              <w:t>int.google_sheet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>Обмін даними</w:t>
            </w:r>
          </w:p>
        </w:tc>
        <w:tc>
          <w:tcPr>
            <w:tcW w:type="dxa" w:w="2880"/>
          </w:tcPr>
          <w:p>
            <w:r/>
            <w:r>
              <w:t>Експорт замовлень у таблицю, webhook для обміну з обліковими системами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Bitrix</w:t>
            </w:r>
            <w:r>
              <w:t xml:space="preserve"> (</w:t>
            </w:r>
            <w:r>
              <w:rPr>
                <w:rFonts w:ascii="Consolas" w:hAnsi="Consolas"/>
                <w:color w:val="555555"/>
                <w:sz w:val="18"/>
              </w:rPr>
              <w:t>int.bitrix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>Міграція</w:t>
            </w:r>
          </w:p>
        </w:tc>
        <w:tc>
          <w:tcPr>
            <w:tcW w:type="dxa" w:w="2880"/>
          </w:tcPr>
          <w:p>
            <w:r/>
            <w:r>
              <w:t>Первинний імпорт даних, delta-sync, webhook (для переносу з наявної CRM)</w:t>
            </w:r>
          </w:p>
        </w:tc>
      </w:tr>
    </w:tbl>
    <w:p/>
    <w:p>
      <w:r>
        <w:rPr>
          <w:b/>
        </w:rPr>
        <w:t>Також включено:</w:t>
      </w:r>
    </w:p>
    <w:p>
      <w:pPr>
        <w:pStyle w:val="ListBullet"/>
      </w:pPr>
      <w:r>
        <w:rPr>
          <w:b/>
        </w:rPr>
        <w:t>Meta Lead Ads</w:t>
      </w:r>
      <w:r>
        <w:t xml:space="preserve"> — автоматичний прийом заявок з Facebook / Instagram;</w:t>
      </w:r>
    </w:p>
    <w:p>
      <w:pPr>
        <w:pStyle w:val="ListBullet"/>
      </w:pPr>
      <w:r>
        <w:rPr>
          <w:b/>
        </w:rPr>
        <w:t>Google Maps / Places</w:t>
      </w:r>
      <w:r>
        <w:t xml:space="preserve"> — геокодування адрес, карта візитів і маршрутів;</w:t>
      </w:r>
    </w:p>
    <w:p>
      <w:pPr>
        <w:pStyle w:val="ListBullet"/>
      </w:pPr>
      <w:r>
        <w:rPr>
          <w:b/>
        </w:rPr>
        <w:t>Мобільний застосунок</w:t>
      </w:r>
      <w:r>
        <w:t xml:space="preserve"> (iOS / Android) — для модуля польових візитів: візити на день, клієнти, задачі, GPS, карта, зміни, пальне.</w:t>
      </w:r>
    </w:p>
    <w:p>
      <w:pPr>
        <w:pStyle w:val="Heading2"/>
      </w:pPr>
      <w:r>
        <w:t>2.2. Модулі, що не входять у базову пропозицію</w:t>
      </w:r>
    </w:p>
    <w:p>
      <w:r>
        <w:t>Підключаються окремо за потреби: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EF4"/>
          </w:tcPr>
          <w:p>
            <w:r>
              <w:rPr>
                <w:b/>
              </w:rPr>
            </w:r>
            <w:r>
              <w:rPr>
                <w:b/>
              </w:rPr>
              <w:t>Модуль</w:t>
            </w:r>
          </w:p>
        </w:tc>
        <w:tc>
          <w:tcPr>
            <w:tcW w:type="dxa" w:w="4320"/>
            <w:shd w:val="clear" w:color="auto" w:fill="E8EEF4"/>
          </w:tcPr>
          <w:p>
            <w:r>
              <w:rPr>
                <w:b/>
              </w:rPr>
            </w:r>
            <w:r>
              <w:rPr>
                <w:b/>
              </w:rPr>
              <w:t>Призначення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AI Outbound (Voice)</w:t>
            </w:r>
            <w:r>
              <w:t xml:space="preserve"> (</w:t>
            </w:r>
            <w:r>
              <w:rPr>
                <w:rFonts w:ascii="Consolas" w:hAnsi="Consolas"/>
                <w:color w:val="555555"/>
                <w:sz w:val="18"/>
              </w:rPr>
              <w:t>ext.voice_outbound</w:t>
            </w:r>
            <w:r>
              <w:t>)</w:t>
            </w:r>
          </w:p>
        </w:tc>
        <w:tc>
          <w:tcPr>
            <w:tcW w:type="dxa" w:w="4320"/>
          </w:tcPr>
          <w:p>
            <w:r/>
            <w:r>
              <w:t>AI-кампанії вихідних дзвінків: кваліфікація лідів, реактивація клієнтів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Планування виробництва</w:t>
            </w:r>
            <w:r>
              <w:t xml:space="preserve"> (</w:t>
            </w:r>
            <w:r>
              <w:rPr>
                <w:rFonts w:ascii="Consolas" w:hAnsi="Consolas"/>
                <w:color w:val="555555"/>
                <w:sz w:val="18"/>
              </w:rPr>
              <w:t>ext.production_planning</w:t>
            </w:r>
            <w:r>
              <w:t>)</w:t>
            </w:r>
          </w:p>
        </w:tc>
        <w:tc>
          <w:tcPr>
            <w:tcW w:type="dxa" w:w="4320"/>
          </w:tcPr>
          <w:p>
            <w:r/>
            <w:r>
              <w:t>BOM, партії, WIP-черги, тижневе планування, знімки залишків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Інтернет-магазин</w:t>
            </w:r>
            <w:r>
              <w:t xml:space="preserve"> (</w:t>
            </w:r>
            <w:r>
              <w:rPr>
                <w:rFonts w:ascii="Consolas" w:hAnsi="Consolas"/>
                <w:color w:val="555555"/>
                <w:sz w:val="18"/>
              </w:rPr>
              <w:t>ext.store</w:t>
            </w:r>
            <w:r>
              <w:t>)</w:t>
            </w:r>
          </w:p>
        </w:tc>
        <w:tc>
          <w:tcPr>
            <w:tcW w:type="dxa" w:w="4320"/>
          </w:tcPr>
          <w:p>
            <w:r/>
            <w:r>
              <w:t>Публічна вітрина з оплатою через CRM</w:t>
            </w:r>
          </w:p>
        </w:tc>
      </w:tr>
    </w:tbl>
    <w:p/>
    <w:p>
      <w:pPr>
        <w:pStyle w:val="Heading2"/>
      </w:pPr>
      <w:r>
        <w:t>2.3. Що входить у роботи першого року</w:t>
      </w:r>
    </w:p>
    <w:p>
      <w:r>
        <w:t xml:space="preserve">Окрім ліцензії на ядро та модулі з п. 2.1, у суму </w:t>
      </w:r>
      <w:r>
        <w:rPr>
          <w:b/>
        </w:rPr>
        <w:t>3 600 USD</w:t>
      </w:r>
      <w:r>
        <w:t xml:space="preserve"> також входить:</w:t>
      </w:r>
    </w:p>
    <w:p>
      <w:pPr>
        <w:pStyle w:val="ListBullet"/>
      </w:pPr>
      <w:r>
        <w:t>налаштування CRM під процеси компанії (воронки, ролі, поля, картки);</w:t>
      </w:r>
    </w:p>
    <w:p>
      <w:pPr>
        <w:pStyle w:val="ListBullet"/>
      </w:pPr>
      <w:r>
        <w:t>міграція даних (контакти, компанії, ліди, замовлення, довідники);</w:t>
      </w:r>
    </w:p>
    <w:p>
      <w:pPr>
        <w:pStyle w:val="ListBullet"/>
      </w:pPr>
      <w:r>
        <w:t>підключення погоджених інтеграцій (Ringostat, Telegram, Nova Poshta, Google Sheets, Bitrix);</w:t>
      </w:r>
    </w:p>
    <w:p>
      <w:pPr>
        <w:pStyle w:val="ListBullet"/>
      </w:pPr>
      <w:r>
        <w:t>базове навчання команди;</w:t>
      </w:r>
    </w:p>
    <w:p>
      <w:pPr>
        <w:pStyle w:val="ListBullet"/>
      </w:pPr>
      <w:r>
        <w:t>супровід запуску.</w:t>
      </w:r>
    </w:p>
    <w:p>
      <w:r>
        <w:t>Фінальний перелік інтеграцій фіксується після короткого аудиту поточних процесів.</w:t>
      </w:r>
    </w:p>
    <w:p>
      <w:pPr>
        <w:pStyle w:val="Heading1"/>
      </w:pPr>
      <w:r>
        <w:t>3. Міграція даних</w:t>
      </w:r>
    </w:p>
    <w:p>
      <w:r>
        <w:t>У вартість першого року входить базова міграція даних у CRM:</w:t>
      </w:r>
    </w:p>
    <w:p>
      <w:pPr>
        <w:pStyle w:val="ListBullet"/>
      </w:pPr>
      <w:r>
        <w:t>клієнти;</w:t>
      </w:r>
    </w:p>
    <w:p>
      <w:pPr>
        <w:pStyle w:val="ListBullet"/>
      </w:pPr>
      <w:r>
        <w:t>контакти;</w:t>
      </w:r>
    </w:p>
    <w:p>
      <w:pPr>
        <w:pStyle w:val="ListBullet"/>
      </w:pPr>
      <w:r>
        <w:t>компанії;</w:t>
      </w:r>
    </w:p>
    <w:p>
      <w:pPr>
        <w:pStyle w:val="ListBullet"/>
      </w:pPr>
      <w:r>
        <w:t>ліди;</w:t>
      </w:r>
    </w:p>
    <w:p>
      <w:pPr>
        <w:pStyle w:val="ListBullet"/>
      </w:pPr>
      <w:r>
        <w:t>замовлення або історичні дані, якщо вони доступні у структурованому форматі;</w:t>
      </w:r>
    </w:p>
    <w:p>
      <w:pPr>
        <w:pStyle w:val="ListBullet"/>
      </w:pPr>
      <w:r>
        <w:t>довідники, статуси та базові налаштування.</w:t>
      </w:r>
    </w:p>
    <w:p>
      <w:r>
        <w:t>Дані можуть бути перенесені з CSV / Excel / Google Sheets / існуючої CRM або іншого джерела за погодженою структурою.</w:t>
      </w:r>
    </w:p>
    <w:p>
      <w:pPr>
        <w:pStyle w:val="Heading1"/>
      </w:pPr>
      <w:r>
        <w:t>4. Етапи впровадження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EF4"/>
          </w:tcPr>
          <w:p>
            <w:r>
              <w:rPr>
                <w:b/>
              </w:rPr>
            </w:r>
            <w:r>
              <w:rPr>
                <w:b/>
              </w:rPr>
              <w:t>Етап</w:t>
            </w:r>
          </w:p>
        </w:tc>
        <w:tc>
          <w:tcPr>
            <w:tcW w:type="dxa" w:w="4320"/>
            <w:shd w:val="clear" w:color="auto" w:fill="E8EEF4"/>
          </w:tcPr>
          <w:p>
            <w:r>
              <w:rPr>
                <w:b/>
              </w:rPr>
            </w:r>
            <w:r>
              <w:rPr>
                <w:b/>
              </w:rPr>
              <w:t>Зміст робіт</w:t>
            </w:r>
          </w:p>
        </w:tc>
      </w:tr>
      <w:tr>
        <w:tc>
          <w:tcPr>
            <w:tcW w:type="dxa" w:w="4320"/>
          </w:tcPr>
          <w:p>
            <w:r/>
            <w:r>
              <w:t>1. Аудит процесів</w:t>
            </w:r>
          </w:p>
        </w:tc>
        <w:tc>
          <w:tcPr>
            <w:tcW w:type="dxa" w:w="4320"/>
          </w:tcPr>
          <w:p>
            <w:r/>
            <w:r>
              <w:t>Аналіз поточної роботи продажів, клієнтської бази, інтеграцій і звітності</w:t>
            </w:r>
          </w:p>
        </w:tc>
      </w:tr>
      <w:tr>
        <w:tc>
          <w:tcPr>
            <w:tcW w:type="dxa" w:w="4320"/>
          </w:tcPr>
          <w:p>
            <w:r/>
            <w:r>
              <w:t>2. Налаштування CRM</w:t>
            </w:r>
          </w:p>
        </w:tc>
        <w:tc>
          <w:tcPr>
            <w:tcW w:type="dxa" w:w="4320"/>
          </w:tcPr>
          <w:p>
            <w:r/>
            <w:r>
              <w:t>Структура користувачів, ролі, воронки, статуси, поля, картки клієнтів</w:t>
            </w:r>
          </w:p>
        </w:tc>
      </w:tr>
      <w:tr>
        <w:tc>
          <w:tcPr>
            <w:tcW w:type="dxa" w:w="4320"/>
          </w:tcPr>
          <w:p>
            <w:r/>
            <w:r>
              <w:t>3. Міграція даних</w:t>
            </w:r>
          </w:p>
        </w:tc>
        <w:tc>
          <w:tcPr>
            <w:tcW w:type="dxa" w:w="4320"/>
          </w:tcPr>
          <w:p>
            <w:r/>
            <w:r>
              <w:t>Підготовка, імпорт і перевірка даних</w:t>
            </w:r>
          </w:p>
        </w:tc>
      </w:tr>
      <w:tr>
        <w:tc>
          <w:tcPr>
            <w:tcW w:type="dxa" w:w="4320"/>
          </w:tcPr>
          <w:p>
            <w:r/>
            <w:r>
              <w:t>4. Інтеграції</w:t>
            </w:r>
          </w:p>
        </w:tc>
        <w:tc>
          <w:tcPr>
            <w:tcW w:type="dxa" w:w="4320"/>
          </w:tcPr>
          <w:p>
            <w:r/>
            <w:r>
              <w:t>Підключення погоджених сервісів та каналів</w:t>
            </w:r>
          </w:p>
        </w:tc>
      </w:tr>
      <w:tr>
        <w:tc>
          <w:tcPr>
            <w:tcW w:type="dxa" w:w="4320"/>
          </w:tcPr>
          <w:p>
            <w:r/>
            <w:r>
              <w:t>5. Навчання команди</w:t>
            </w:r>
          </w:p>
        </w:tc>
        <w:tc>
          <w:tcPr>
            <w:tcW w:type="dxa" w:w="4320"/>
          </w:tcPr>
          <w:p>
            <w:r/>
            <w:r>
              <w:t>Демонстрація сценаріїв роботи для менеджерів і керівників</w:t>
            </w:r>
          </w:p>
        </w:tc>
      </w:tr>
      <w:tr>
        <w:tc>
          <w:tcPr>
            <w:tcW w:type="dxa" w:w="4320"/>
          </w:tcPr>
          <w:p>
            <w:r/>
            <w:r>
              <w:t>6. Запуск</w:t>
            </w:r>
          </w:p>
        </w:tc>
        <w:tc>
          <w:tcPr>
            <w:tcW w:type="dxa" w:w="4320"/>
          </w:tcPr>
          <w:p>
            <w:r/>
            <w:r>
              <w:t>Перехід у робочий режим та підтримка стартового періоду</w:t>
            </w:r>
          </w:p>
        </w:tc>
      </w:tr>
    </w:tbl>
    <w:p/>
    <w:p>
      <w:r>
        <w:t xml:space="preserve">Орієнтовний строк запуску: </w:t>
      </w:r>
      <w:r>
        <w:rPr>
          <w:b/>
        </w:rPr>
        <w:t>2-4 тижні</w:t>
      </w:r>
      <w:r>
        <w:t xml:space="preserve"> після погодження структури даних, доступів та переліку інтеграцій.</w:t>
      </w:r>
    </w:p>
    <w:p>
      <w:pPr>
        <w:pStyle w:val="Heading1"/>
      </w:pPr>
      <w:r>
        <w:t>5. Вартість</w:t>
      </w:r>
    </w:p>
    <w:p>
      <w:pPr>
        <w:pStyle w:val="Heading2"/>
      </w:pPr>
      <w:r>
        <w:t>Перший рік</w:t>
      </w:r>
    </w:p>
    <w:p>
      <w:r>
        <w:rPr>
          <w:b/>
        </w:rPr>
        <w:t>Загальна вартість першого року: 3 600 USD</w:t>
      </w:r>
    </w:p>
    <w:p>
      <w:r>
        <w:t>У суму входить:</w:t>
      </w:r>
    </w:p>
    <w:p>
      <w:pPr>
        <w:pStyle w:val="ListBullet"/>
      </w:pPr>
      <w:r>
        <w:t>ліцензія на ядро CRM та модулі: фінанси, польові візити, прозвон, Nova Poshta, Ringostat, Telegram, Google Sheets, Bitrix;</w:t>
      </w:r>
    </w:p>
    <w:p>
      <w:pPr>
        <w:pStyle w:val="ListBullet"/>
      </w:pPr>
      <w:r>
        <w:t>мобільний застосунок для польових менеджерів;</w:t>
      </w:r>
    </w:p>
    <w:p>
      <w:pPr>
        <w:pStyle w:val="ListBullet"/>
      </w:pPr>
      <w:r>
        <w:t>налаштування продукту під процеси компанії;</w:t>
      </w:r>
    </w:p>
    <w:p>
      <w:pPr>
        <w:pStyle w:val="ListBullet"/>
      </w:pPr>
      <w:r>
        <w:t>міграція даних;</w:t>
      </w:r>
    </w:p>
    <w:p>
      <w:pPr>
        <w:pStyle w:val="ListBullet"/>
      </w:pPr>
      <w:r>
        <w:t>підключення погоджених інтеграцій;</w:t>
      </w:r>
    </w:p>
    <w:p>
      <w:pPr>
        <w:pStyle w:val="ListBullet"/>
      </w:pPr>
      <w:r>
        <w:t>базове навчання команди;</w:t>
      </w:r>
    </w:p>
    <w:p>
      <w:pPr>
        <w:pStyle w:val="ListBullet"/>
      </w:pPr>
      <w:r>
        <w:t>супровід запуску.</w:t>
      </w:r>
    </w:p>
    <w:p>
      <w:pPr>
        <w:pStyle w:val="Heading2"/>
      </w:pPr>
      <w:r>
        <w:t>Наступний рік</w:t>
      </w:r>
    </w:p>
    <w:p>
      <w:r>
        <w:rPr>
          <w:b/>
        </w:rPr>
        <w:t>Вартість наступного року: 1 000 USD</w:t>
      </w:r>
    </w:p>
    <w:p>
      <w:r>
        <w:t>У суму входить:</w:t>
      </w:r>
    </w:p>
    <w:p>
      <w:pPr>
        <w:pStyle w:val="ListBullet"/>
      </w:pPr>
      <w:r>
        <w:t>продовження ліцензії на ядро та всі підключені модулі (п. 2.1);</w:t>
      </w:r>
    </w:p>
    <w:p>
      <w:pPr>
        <w:pStyle w:val="ListBullet"/>
      </w:pPr>
      <w:r>
        <w:t>базова технічна підтримка;</w:t>
      </w:r>
    </w:p>
    <w:p>
      <w:pPr>
        <w:pStyle w:val="ListBullet"/>
      </w:pPr>
      <w:r>
        <w:t>оновлення системи;</w:t>
      </w:r>
    </w:p>
    <w:p>
      <w:pPr>
        <w:pStyle w:val="ListBullet"/>
      </w:pPr>
      <w:r>
        <w:t>підтримка працездатності налаштованих інтеграцій.</w:t>
      </w:r>
    </w:p>
    <w:p>
      <w:pPr>
        <w:pStyle w:val="Heading1"/>
      </w:pPr>
      <w:r>
        <w:t>6. Переваги для компанії</w:t>
      </w:r>
    </w:p>
    <w:p>
      <w:pPr>
        <w:pStyle w:val="ListBullet"/>
      </w:pPr>
      <w:r>
        <w:t>єдина база клієнтів і повна історія взаємодій;</w:t>
      </w:r>
    </w:p>
    <w:p>
      <w:pPr>
        <w:pStyle w:val="ListBullet"/>
      </w:pPr>
      <w:r>
        <w:t>прозорий контроль роботи менеджерів;</w:t>
      </w:r>
    </w:p>
    <w:p>
      <w:pPr>
        <w:pStyle w:val="ListBullet"/>
      </w:pPr>
      <w:r>
        <w:t>швидше створення замовлень і обробка заявок;</w:t>
      </w:r>
    </w:p>
    <w:p>
      <w:pPr>
        <w:pStyle w:val="ListBullet"/>
      </w:pPr>
      <w:r>
        <w:t>менше ручної роботи за рахунок інтеграцій;</w:t>
      </w:r>
    </w:p>
    <w:p>
      <w:pPr>
        <w:pStyle w:val="ListBullet"/>
      </w:pPr>
      <w:r>
        <w:t>зрозуміла аналітика для керівника;</w:t>
      </w:r>
    </w:p>
    <w:p>
      <w:pPr>
        <w:pStyle w:val="ListBullet"/>
      </w:pPr>
      <w:r>
        <w:t>можливість масштабувати систему через модулі;</w:t>
      </w:r>
    </w:p>
    <w:p>
      <w:pPr>
        <w:pStyle w:val="ListBullet"/>
      </w:pPr>
      <w:r>
        <w:t>self-hosted підхід: дані залишаються під контролем компанії.</w:t>
      </w:r>
    </w:p>
    <w:p>
      <w:pPr>
        <w:pStyle w:val="Heading1"/>
      </w:pPr>
      <w:r>
        <w:t>7. Умови</w:t>
      </w:r>
    </w:p>
    <w:p>
      <w:pPr>
        <w:pStyle w:val="ListBullet"/>
      </w:pPr>
      <w:r>
        <w:t>Остаточний перелік модулів та інтеграцій погоджується перед стартом робіт.</w:t>
      </w:r>
    </w:p>
    <w:p>
      <w:pPr>
        <w:pStyle w:val="ListBullet"/>
      </w:pPr>
      <w:r>
        <w:t>Доступи до зовнішніх сервісів надаються клієнтом.</w:t>
      </w:r>
    </w:p>
    <w:p>
      <w:pPr>
        <w:pStyle w:val="ListBullet"/>
      </w:pPr>
      <w:r>
        <w:t>Міграція виконується на основі даних, наданих у структурованому форматі.</w:t>
      </w:r>
    </w:p>
    <w:p>
      <w:pPr>
        <w:pStyle w:val="ListBullet"/>
      </w:pPr>
      <w:r>
        <w:t>Додаткові нестандартні інтеграції або розробка поза погодженим обсягом оцінюються окремо.</w:t>
      </w:r>
    </w:p>
    <w:p>
      <w:pPr>
        <w:pStyle w:val="Heading1"/>
      </w:pPr>
      <w:r>
        <w:t>8. Наступні кроки</w:t>
      </w:r>
    </w:p>
    <w:p>
      <w:pPr>
        <w:pStyle w:val="ListNumber"/>
      </w:pPr>
      <w:r>
        <w:t>Погодити склад CRM-модулів та інтеграцій.</w:t>
      </w:r>
    </w:p>
    <w:p>
      <w:pPr>
        <w:pStyle w:val="ListNumber"/>
      </w:pPr>
      <w:r>
        <w:t>Передати приклади поточних даних для міграції.</w:t>
      </w:r>
    </w:p>
    <w:p>
      <w:pPr>
        <w:pStyle w:val="ListNumber"/>
      </w:pPr>
      <w:r>
        <w:t>Затвердити строки запуску.</w:t>
      </w:r>
    </w:p>
    <w:p>
      <w:pPr>
        <w:pStyle w:val="ListNumber"/>
      </w:pPr>
      <w:r>
        <w:t>Розпочати впровадження.</w:t>
      </w:r>
    </w:p>
    <w:p>
      <w:r>
        <w:rPr>
          <w:b/>
        </w:rPr>
        <w:t>Контакти</w:t>
      </w:r>
    </w:p>
    <w:p>
      <w:r>
        <w:t>Компанія: ____________________</w:t>
      </w:r>
    </w:p>
    <w:p>
      <w:r>
        <w:t>Контактна особа: ____________________</w:t>
      </w:r>
    </w:p>
    <w:p>
      <w:r>
        <w:t>Телефон: ____________________</w:t>
      </w:r>
    </w:p>
    <w:p>
      <w:r>
        <w:t>Email: ____________________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