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8 - Milestone 1: Multi-Tenant SaaS Architecture Blueprint</w:t>
      </w:r>
    </w:p>
    <w:p>
      <w:pPr>
        <w:pStyle w:val="Heading1"/>
      </w:pPr>
      <w:r>
        <w:t>1. Overview</w:t>
      </w:r>
    </w:p>
    <w:p>
      <w:r>
        <w:t>This document outlines the multi-tenant SaaS architecture for the Ultimate Automated Trading System. It defines services, tenant isolation patterns, provisioning workflows, and deployment strategies.</w:t>
      </w:r>
    </w:p>
    <w:p>
      <w:pPr>
        <w:pStyle w:val="Heading1"/>
      </w:pPr>
      <w:r>
        <w:t>2. Microservices Layout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Auth Service</w:t>
            </w:r>
          </w:p>
        </w:tc>
        <w:tc>
          <w:tcPr>
            <w:tcW w:type="dxa" w:w="4320"/>
          </w:tcPr>
          <w:p>
            <w:r>
              <w:t>Handles user authentication, authorization, and tenant management.</w:t>
            </w:r>
          </w:p>
        </w:tc>
      </w:tr>
      <w:tr>
        <w:tc>
          <w:tcPr>
            <w:tcW w:type="dxa" w:w="4320"/>
          </w:tcPr>
          <w:p>
            <w:r>
              <w:t>API Gateway</w:t>
            </w:r>
          </w:p>
        </w:tc>
        <w:tc>
          <w:tcPr>
            <w:tcW w:type="dxa" w:w="4320"/>
          </w:tcPr>
          <w:p>
            <w:r>
              <w:t>Routes requests to downstream microservices and enforces rate limits.</w:t>
            </w:r>
          </w:p>
        </w:tc>
      </w:tr>
      <w:tr>
        <w:tc>
          <w:tcPr>
            <w:tcW w:type="dxa" w:w="4320"/>
          </w:tcPr>
          <w:p>
            <w:r>
              <w:t>Feature Service</w:t>
            </w:r>
          </w:p>
        </w:tc>
        <w:tc>
          <w:tcPr>
            <w:tcW w:type="dxa" w:w="4320"/>
          </w:tcPr>
          <w:p>
            <w:r>
              <w:t>Streams and stores feature data per tenant.</w:t>
            </w:r>
          </w:p>
        </w:tc>
      </w:tr>
      <w:tr>
        <w:tc>
          <w:tcPr>
            <w:tcW w:type="dxa" w:w="4320"/>
          </w:tcPr>
          <w:p>
            <w:r>
              <w:t>AI Prediction Service</w:t>
            </w:r>
          </w:p>
        </w:tc>
        <w:tc>
          <w:tcPr>
            <w:tcW w:type="dxa" w:w="4320"/>
          </w:tcPr>
          <w:p>
            <w:r>
              <w:t>Provides signal predictions isolating each tenant context.</w:t>
            </w:r>
          </w:p>
        </w:tc>
      </w:tr>
      <w:tr>
        <w:tc>
          <w:tcPr>
            <w:tcW w:type="dxa" w:w="4320"/>
          </w:tcPr>
          <w:p>
            <w:r>
              <w:t>Strategy Service</w:t>
            </w:r>
          </w:p>
        </w:tc>
        <w:tc>
          <w:tcPr>
            <w:tcW w:type="dxa" w:w="4320"/>
          </w:tcPr>
          <w:p>
            <w:r>
              <w:t>Generates and scores option strategies for tenants.</w:t>
            </w:r>
          </w:p>
        </w:tc>
      </w:tr>
      <w:tr>
        <w:tc>
          <w:tcPr>
            <w:tcW w:type="dxa" w:w="4320"/>
          </w:tcPr>
          <w:p>
            <w:r>
              <w:t>Execution Service</w:t>
            </w:r>
          </w:p>
        </w:tc>
        <w:tc>
          <w:tcPr>
            <w:tcW w:type="dxa" w:w="4320"/>
          </w:tcPr>
          <w:p>
            <w:r>
              <w:t>Executes trades via broker APIs under tenant context.</w:t>
            </w:r>
          </w:p>
        </w:tc>
      </w:tr>
      <w:tr>
        <w:tc>
          <w:tcPr>
            <w:tcW w:type="dxa" w:w="4320"/>
          </w:tcPr>
          <w:p>
            <w:r>
              <w:t>Dashboard UI</w:t>
            </w:r>
          </w:p>
        </w:tc>
        <w:tc>
          <w:tcPr>
            <w:tcW w:type="dxa" w:w="4320"/>
          </w:tcPr>
          <w:p>
            <w:r>
              <w:t>Serves the multi-tenant web dashboard.</w:t>
            </w:r>
          </w:p>
        </w:tc>
      </w:tr>
      <w:tr>
        <w:tc>
          <w:tcPr>
            <w:tcW w:type="dxa" w:w="4320"/>
          </w:tcPr>
          <w:p>
            <w:r>
              <w:t>Telemetry Service</w:t>
            </w:r>
          </w:p>
        </w:tc>
        <w:tc>
          <w:tcPr>
            <w:tcW w:type="dxa" w:w="4320"/>
          </w:tcPr>
          <w:p>
            <w:r>
              <w:t>Aggregates metrics and logs for monitoring.</w:t>
            </w:r>
          </w:p>
        </w:tc>
      </w:tr>
    </w:tbl>
    <w:p>
      <w:pPr>
        <w:pStyle w:val="Heading1"/>
      </w:pPr>
      <w:r>
        <w:t>3. Tenant Isolation Patterns</w:t>
      </w:r>
    </w:p>
    <w:p>
      <w:r>
        <w:t>- **Database per Tenant**: Separate schemas or databases for each tenant.</w:t>
        <w:br/>
        <w:t>- **Scoped Configuration**: Tenant-specific configs loaded via headers or tokens.</w:t>
        <w:br/>
        <w:t>- **Authentication**: JWT tokens include `tenant_id` claim.</w:t>
        <w:br/>
        <w:t>- **API Gateway**: Enforces tenant routing and quotas.</w:t>
      </w:r>
    </w:p>
    <w:p>
      <w:pPr>
        <w:pStyle w:val="Heading1"/>
      </w:pPr>
      <w:r>
        <w:t>4. Provisioning Workflow</w:t>
      </w:r>
    </w:p>
    <w:p>
      <w:r>
        <w:t>1. Admin registers new tenant via Auth Service API.</w:t>
        <w:br/>
        <w:t>2. Auth Service triggers DB schema creation and initial config.</w:t>
        <w:br/>
        <w:t>3. Tenant Admin receives credentials and API keys.</w:t>
        <w:br/>
        <w:t>4. Tenant can onboard users under their domain.</w:t>
      </w:r>
    </w:p>
    <w:p>
      <w:pPr>
        <w:pStyle w:val="Heading1"/>
      </w:pPr>
      <w:r>
        <w:t>5. Deployment Strategy</w:t>
      </w:r>
    </w:p>
    <w:p>
      <w:r>
        <w:t>- Use Docker Compose for local dev or Kubernetes for production.</w:t>
        <w:br/>
        <w:t>- Each service deployed as a container with env var `TENANT_ID` when testing.</w:t>
        <w:br/>
        <w:t>- ConfigMaps and Secrets in Kubernetes store tenant metadata and API credentials.</w:t>
        <w:br/>
      </w:r>
    </w:p>
    <w:p>
      <w:pPr>
        <w:pStyle w:val="Heading1"/>
      </w:pPr>
      <w:r>
        <w:t>6. Next Steps</w:t>
      </w:r>
    </w:p>
    <w:p>
      <w:r>
        <w:t>1. Scaffold microservice templates with FastAPI.</w:t>
        <w:br/>
        <w:t>2. Implement Auth Service with JWT and tenant DB.</w:t>
        <w:br/>
        <w:t>3. Create API Gateway config (e.g., Kong or Traefik) for tenant routing.</w:t>
        <w:br/>
        <w:t>4. Automate tenant provisioning via CI/CD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