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41702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443E1" w:rsidRDefault="004443E1">
          <w:pPr>
            <w:pStyle w:val="a8"/>
          </w:pPr>
          <w:r>
            <w:t>Оглавление</w:t>
          </w:r>
        </w:p>
        <w:p w:rsidR="00A96AB6" w:rsidRDefault="004443E1">
          <w:pPr>
            <w:pStyle w:val="21"/>
            <w:tabs>
              <w:tab w:val="right" w:leader="dot" w:pos="9736"/>
            </w:tabs>
            <w:rPr>
              <w:rFonts w:eastAsiaTheme="minorEastAsia"/>
              <w:noProof/>
              <w:lang w:eastAsia="ru-RU"/>
            </w:rPr>
          </w:pPr>
          <w:r>
            <w:fldChar w:fldCharType="begin"/>
          </w:r>
          <w:r>
            <w:instrText xml:space="preserve"> TOC \o "1-3" \h \z \u </w:instrText>
          </w:r>
          <w:r>
            <w:fldChar w:fldCharType="separate"/>
          </w:r>
          <w:hyperlink w:anchor="_Toc494274287" w:history="1">
            <w:r w:rsidR="00A96AB6" w:rsidRPr="00AB71B9">
              <w:rPr>
                <w:rStyle w:val="a7"/>
                <w:noProof/>
                <w:lang w:val="en-US"/>
              </w:rPr>
              <w:t>Quantitative Skills for Historians</w:t>
            </w:r>
            <w:r w:rsidR="00A96AB6">
              <w:rPr>
                <w:noProof/>
                <w:webHidden/>
              </w:rPr>
              <w:tab/>
            </w:r>
            <w:r w:rsidR="00A96AB6">
              <w:rPr>
                <w:noProof/>
                <w:webHidden/>
              </w:rPr>
              <w:fldChar w:fldCharType="begin"/>
            </w:r>
            <w:r w:rsidR="00A96AB6">
              <w:rPr>
                <w:noProof/>
                <w:webHidden/>
              </w:rPr>
              <w:instrText xml:space="preserve"> PAGEREF _Toc494274287 \h </w:instrText>
            </w:r>
            <w:r w:rsidR="00A96AB6">
              <w:rPr>
                <w:noProof/>
                <w:webHidden/>
              </w:rPr>
            </w:r>
            <w:r w:rsidR="00A96AB6">
              <w:rPr>
                <w:noProof/>
                <w:webHidden/>
              </w:rPr>
              <w:fldChar w:fldCharType="separate"/>
            </w:r>
            <w:r w:rsidR="00A96AB6">
              <w:rPr>
                <w:noProof/>
                <w:webHidden/>
              </w:rPr>
              <w:t>2</w:t>
            </w:r>
            <w:r w:rsidR="00A96AB6">
              <w:rPr>
                <w:noProof/>
                <w:webHidden/>
              </w:rPr>
              <w:fldChar w:fldCharType="end"/>
            </w:r>
          </w:hyperlink>
        </w:p>
        <w:p w:rsidR="00A96AB6" w:rsidRDefault="00A96AB6">
          <w:pPr>
            <w:pStyle w:val="11"/>
            <w:tabs>
              <w:tab w:val="right" w:leader="dot" w:pos="9736"/>
            </w:tabs>
            <w:rPr>
              <w:rFonts w:eastAsiaTheme="minorEastAsia"/>
              <w:noProof/>
              <w:lang w:eastAsia="ru-RU"/>
            </w:rPr>
          </w:pPr>
          <w:hyperlink w:anchor="_Toc494274288" w:history="1">
            <w:r w:rsidRPr="00AB71B9">
              <w:rPr>
                <w:rStyle w:val="a7"/>
                <w:noProof/>
              </w:rPr>
              <w:t>Количественные мощности современных вычислительных машин и их синергетический потенциал.</w:t>
            </w:r>
            <w:r>
              <w:rPr>
                <w:noProof/>
                <w:webHidden/>
              </w:rPr>
              <w:tab/>
            </w:r>
            <w:r>
              <w:rPr>
                <w:noProof/>
                <w:webHidden/>
              </w:rPr>
              <w:fldChar w:fldCharType="begin"/>
            </w:r>
            <w:r>
              <w:rPr>
                <w:noProof/>
                <w:webHidden/>
              </w:rPr>
              <w:instrText xml:space="preserve"> PAGEREF _Toc494274288 \h </w:instrText>
            </w:r>
            <w:r>
              <w:rPr>
                <w:noProof/>
                <w:webHidden/>
              </w:rPr>
            </w:r>
            <w:r>
              <w:rPr>
                <w:noProof/>
                <w:webHidden/>
              </w:rPr>
              <w:fldChar w:fldCharType="separate"/>
            </w:r>
            <w:r>
              <w:rPr>
                <w:noProof/>
                <w:webHidden/>
              </w:rPr>
              <w:t>3</w:t>
            </w:r>
            <w:r>
              <w:rPr>
                <w:noProof/>
                <w:webHidden/>
              </w:rPr>
              <w:fldChar w:fldCharType="end"/>
            </w:r>
          </w:hyperlink>
        </w:p>
        <w:p w:rsidR="004443E1" w:rsidRDefault="004443E1">
          <w:r>
            <w:rPr>
              <w:b/>
              <w:bCs/>
            </w:rPr>
            <w:fldChar w:fldCharType="end"/>
          </w:r>
        </w:p>
      </w:sdtContent>
    </w:sdt>
    <w:p w:rsidR="002C2F86" w:rsidRDefault="002C2F86">
      <w:pPr>
        <w:rPr>
          <w:rStyle w:val="a6"/>
          <w:rFonts w:ascii="PT Serif" w:eastAsiaTheme="majorEastAsia" w:hAnsi="PT Serif" w:cstheme="majorBidi"/>
          <w:b/>
          <w:spacing w:val="-10"/>
          <w:kern w:val="28"/>
          <w:sz w:val="56"/>
          <w:szCs w:val="56"/>
        </w:rPr>
      </w:pPr>
      <w:r>
        <w:rPr>
          <w:rStyle w:val="a6"/>
          <w:rFonts w:ascii="PT Serif" w:hAnsi="PT Serif"/>
          <w:b/>
        </w:rPr>
        <w:br w:type="page"/>
      </w:r>
    </w:p>
    <w:p w:rsidR="00E12587" w:rsidRPr="004443E1" w:rsidRDefault="00E12587" w:rsidP="007361DD">
      <w:pPr>
        <w:pStyle w:val="a4"/>
        <w:spacing w:line="276" w:lineRule="auto"/>
        <w:jc w:val="center"/>
        <w:rPr>
          <w:rStyle w:val="a6"/>
          <w:b/>
          <w:lang w:val="en-US"/>
        </w:rPr>
      </w:pPr>
      <w:r w:rsidRPr="004443E1">
        <w:rPr>
          <w:rStyle w:val="a6"/>
          <w:b/>
          <w:lang w:val="en-US"/>
        </w:rPr>
        <w:lastRenderedPageBreak/>
        <w:t>Type: Research Guide</w:t>
      </w:r>
    </w:p>
    <w:p w:rsidR="00E12587" w:rsidRPr="004443E1" w:rsidRDefault="00E12587" w:rsidP="004443E1">
      <w:pPr>
        <w:pStyle w:val="2"/>
        <w:rPr>
          <w:sz w:val="36"/>
          <w:lang w:val="en-US"/>
        </w:rPr>
      </w:pPr>
      <w:r w:rsidRPr="004443E1">
        <w:rPr>
          <w:sz w:val="36"/>
          <w:lang w:val="en-US"/>
        </w:rPr>
        <w:t xml:space="preserve"> </w:t>
      </w:r>
      <w:bookmarkStart w:id="0" w:name="_Toc494274287"/>
      <w:r w:rsidRPr="004443E1">
        <w:rPr>
          <w:sz w:val="36"/>
          <w:lang w:val="en-US"/>
        </w:rPr>
        <w:t>Qua</w:t>
      </w:r>
      <w:r w:rsidRPr="004443E1">
        <w:rPr>
          <w:sz w:val="36"/>
          <w:lang w:val="en-US"/>
        </w:rPr>
        <w:t>ntitative Skills for Historians</w:t>
      </w:r>
      <w:bookmarkEnd w:id="0"/>
    </w:p>
    <w:p w:rsidR="00E12587" w:rsidRPr="002C2F86" w:rsidRDefault="002C2F86" w:rsidP="00B40B09">
      <w:pPr>
        <w:ind w:firstLine="708"/>
        <w:jc w:val="both"/>
        <w:rPr>
          <w:rFonts w:ascii="PT Serif" w:hAnsi="PT Serif"/>
          <w:sz w:val="28"/>
          <w:lang w:val="en-US"/>
        </w:rPr>
      </w:pPr>
      <w:r w:rsidRPr="002C2F86">
        <w:rPr>
          <w:rFonts w:ascii="PT Serif" w:hAnsi="PT Serif"/>
          <w:sz w:val="28"/>
        </w:rPr>
        <w:drawing>
          <wp:anchor distT="0" distB="0" distL="114300" distR="114300" simplePos="0" relativeHeight="251660288" behindDoc="0" locked="0" layoutInCell="1" allowOverlap="1">
            <wp:simplePos x="0" y="0"/>
            <wp:positionH relativeFrom="column">
              <wp:posOffset>2540</wp:posOffset>
            </wp:positionH>
            <wp:positionV relativeFrom="paragraph">
              <wp:posOffset>1359535</wp:posOffset>
            </wp:positionV>
            <wp:extent cx="1543685" cy="1857375"/>
            <wp:effectExtent l="0" t="0" r="0" b="9525"/>
            <wp:wrapThrough wrapText="bothSides">
              <wp:wrapPolygon edited="0">
                <wp:start x="0" y="0"/>
                <wp:lineTo x="0" y="21489"/>
                <wp:lineTo x="21325" y="21489"/>
                <wp:lineTo x="21325" y="0"/>
                <wp:lineTo x="0" y="0"/>
              </wp:wrapPolygon>
            </wp:wrapThrough>
            <wp:docPr id="3" name="Рисунок 3" descr="Quantitative Skills for Histor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Quantitative Skills for Historia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3685"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2587" w:rsidRPr="002C2F86">
        <w:rPr>
          <w:rFonts w:ascii="PT Serif" w:hAnsi="PT Serif"/>
          <w:sz w:val="28"/>
          <w:lang w:val="en-US"/>
        </w:rPr>
        <w:t xml:space="preserve">This guide suggests ways in which historians and students of history can appreciate the importance and value – and limitations – of numbers </w:t>
      </w:r>
      <w:proofErr w:type="gramStart"/>
      <w:r w:rsidR="00E12587" w:rsidRPr="002C2F86">
        <w:rPr>
          <w:rFonts w:ascii="PT Serif" w:hAnsi="PT Serif"/>
          <w:sz w:val="28"/>
          <w:lang w:val="en-US"/>
        </w:rPr>
        <w:t>in history, and to overcome their fears of numbers through the integration of small amounts of quantitative work into history courses and independent research</w:t>
      </w:r>
      <w:proofErr w:type="gramEnd"/>
      <w:r w:rsidR="00E12587" w:rsidRPr="002C2F86">
        <w:rPr>
          <w:rFonts w:ascii="PT Serif" w:hAnsi="PT Serif"/>
          <w:sz w:val="28"/>
          <w:lang w:val="en-US"/>
        </w:rPr>
        <w:t xml:space="preserve">. The intention here is not to set </w:t>
      </w:r>
      <w:proofErr w:type="gramStart"/>
      <w:r w:rsidR="00E12587" w:rsidRPr="002C2F86">
        <w:rPr>
          <w:rFonts w:ascii="PT Serif" w:hAnsi="PT Serif"/>
          <w:sz w:val="28"/>
          <w:lang w:val="en-US"/>
        </w:rPr>
        <w:t>out a curriculum for a course on quantification in history</w:t>
      </w:r>
      <w:proofErr w:type="gramEnd"/>
      <w:r w:rsidR="00E12587" w:rsidRPr="002C2F86">
        <w:rPr>
          <w:rFonts w:ascii="PT Serif" w:hAnsi="PT Serif"/>
          <w:sz w:val="28"/>
          <w:lang w:val="en-US"/>
        </w:rPr>
        <w:t xml:space="preserve">. Some universities offer this to undergraduates, and many postgraduate history students are required by their universities, or more usually by funding bodies, to undergo quantitative methods training. Some of the exercises in this guide may be of some use in such a course, but the focus is on exercises and ideas that could be adapted to existing history courses and basic </w:t>
      </w:r>
      <w:r w:rsidR="00AE7B44" w:rsidRPr="002C2F86">
        <w:rPr>
          <w:rFonts w:ascii="PT Serif" w:hAnsi="PT Serif"/>
          <w:sz w:val="28"/>
          <w:lang w:val="en-US"/>
        </w:rPr>
        <w:t>methods, which</w:t>
      </w:r>
      <w:r w:rsidR="00E12587" w:rsidRPr="002C2F86">
        <w:rPr>
          <w:rFonts w:ascii="PT Serif" w:hAnsi="PT Serif"/>
          <w:sz w:val="28"/>
          <w:lang w:val="en-US"/>
        </w:rPr>
        <w:t xml:space="preserve"> can be integrated into student research. Useful textbooks for quantification in history are listed in the bibliography.</w:t>
      </w:r>
    </w:p>
    <w:p w:rsidR="000B027F" w:rsidRDefault="00AE7B44" w:rsidP="002C2F86">
      <w:pPr>
        <w:jc w:val="both"/>
        <w:rPr>
          <w:rFonts w:ascii="PT Serif" w:hAnsi="PT Serif"/>
          <w:sz w:val="28"/>
        </w:rPr>
      </w:pPr>
      <w:proofErr w:type="spellStart"/>
      <w:r w:rsidRPr="002C2F86">
        <w:rPr>
          <w:rFonts w:ascii="PT Serif" w:hAnsi="PT Serif"/>
          <w:sz w:val="28"/>
          <w:lang w:val="en-US"/>
        </w:rPr>
        <w:t>LaTeX</w:t>
      </w:r>
      <w:proofErr w:type="spellEnd"/>
      <w:r w:rsidRPr="002C2F86">
        <w:rPr>
          <w:rFonts w:ascii="PT Serif" w:hAnsi="PT Serif"/>
          <w:sz w:val="28"/>
        </w:rPr>
        <w:t xml:space="preserve"> – </w:t>
      </w:r>
      <w:r w:rsidRPr="002C2F86">
        <w:rPr>
          <w:rFonts w:ascii="PT Serif" w:hAnsi="PT Serif" w:cs="Cambria"/>
          <w:sz w:val="28"/>
        </w:rPr>
        <w:t>программа</w:t>
      </w:r>
      <w:r w:rsidRPr="002C2F86">
        <w:rPr>
          <w:rFonts w:ascii="PT Serif" w:hAnsi="PT Serif"/>
          <w:sz w:val="28"/>
        </w:rPr>
        <w:t xml:space="preserve"> </w:t>
      </w:r>
      <w:r w:rsidRPr="002C2F86">
        <w:rPr>
          <w:rFonts w:ascii="PT Serif" w:hAnsi="PT Serif" w:cs="Cambria"/>
          <w:sz w:val="28"/>
        </w:rPr>
        <w:t>для</w:t>
      </w:r>
      <w:r w:rsidRPr="002C2F86">
        <w:rPr>
          <w:rFonts w:ascii="PT Serif" w:hAnsi="PT Serif"/>
          <w:sz w:val="28"/>
        </w:rPr>
        <w:t xml:space="preserve"> </w:t>
      </w:r>
      <w:r w:rsidRPr="002C2F86">
        <w:rPr>
          <w:rFonts w:ascii="PT Serif" w:hAnsi="PT Serif" w:cs="Cambria"/>
          <w:sz w:val="28"/>
        </w:rPr>
        <w:t>вёрстки</w:t>
      </w:r>
      <w:r w:rsidRPr="002C2F86">
        <w:rPr>
          <w:rFonts w:ascii="PT Serif" w:hAnsi="PT Serif"/>
          <w:sz w:val="28"/>
        </w:rPr>
        <w:t xml:space="preserve"> </w:t>
      </w:r>
      <w:r w:rsidRPr="002C2F86">
        <w:rPr>
          <w:rFonts w:ascii="PT Serif" w:hAnsi="PT Serif" w:cs="Cambria"/>
          <w:sz w:val="28"/>
        </w:rPr>
        <w:t>научных</w:t>
      </w:r>
      <w:r w:rsidRPr="002C2F86">
        <w:rPr>
          <w:rFonts w:ascii="PT Serif" w:hAnsi="PT Serif"/>
          <w:sz w:val="28"/>
        </w:rPr>
        <w:t xml:space="preserve"> </w:t>
      </w:r>
      <w:r w:rsidRPr="002C2F86">
        <w:rPr>
          <w:rFonts w:ascii="PT Serif" w:hAnsi="PT Serif" w:cs="Cambria"/>
          <w:sz w:val="28"/>
        </w:rPr>
        <w:t>статей</w:t>
      </w:r>
      <w:r w:rsidRPr="002C2F86">
        <w:rPr>
          <w:rFonts w:ascii="PT Serif" w:hAnsi="PT Serif"/>
          <w:sz w:val="28"/>
        </w:rPr>
        <w:t>.</w:t>
      </w:r>
    </w:p>
    <w:p w:rsidR="004443E1" w:rsidRDefault="004443E1">
      <w:pPr>
        <w:rPr>
          <w:rFonts w:ascii="PT Serif" w:hAnsi="PT Serif"/>
          <w:sz w:val="28"/>
        </w:rPr>
      </w:pPr>
      <w:r>
        <w:rPr>
          <w:rFonts w:ascii="PT Serif" w:hAnsi="PT Serif"/>
          <w:sz w:val="28"/>
        </w:rPr>
        <w:br w:type="page"/>
      </w:r>
    </w:p>
    <w:p w:rsidR="004443E1" w:rsidRDefault="004443E1" w:rsidP="004443E1">
      <w:pPr>
        <w:pStyle w:val="a4"/>
        <w:jc w:val="center"/>
      </w:pPr>
      <w:r>
        <w:lastRenderedPageBreak/>
        <w:t>Прогрессивные возможности современных вычислительных машин</w:t>
      </w:r>
    </w:p>
    <w:p w:rsidR="004443E1" w:rsidRDefault="004443E1" w:rsidP="004443E1">
      <w:pPr>
        <w:pStyle w:val="1"/>
      </w:pPr>
      <w:bookmarkStart w:id="1" w:name="_Toc494274288"/>
      <w:r>
        <w:t xml:space="preserve">Количественные мощности современных вычислительных машин и их </w:t>
      </w:r>
      <w:r w:rsidR="00A96AB6">
        <w:t>синергетический потенциал</w:t>
      </w:r>
      <w:r>
        <w:t>.</w:t>
      </w:r>
      <w:bookmarkEnd w:id="1"/>
    </w:p>
    <w:p w:rsidR="00A96AB6" w:rsidRDefault="004443E1" w:rsidP="004443E1">
      <w:pPr>
        <w:rPr>
          <w:rFonts w:ascii="PT Serif" w:hAnsi="PT Serif"/>
          <w:sz w:val="28"/>
        </w:rPr>
      </w:pPr>
      <w:r>
        <w:tab/>
      </w:r>
      <w:r>
        <w:rPr>
          <w:rFonts w:ascii="PT Serif" w:hAnsi="PT Serif"/>
          <w:sz w:val="28"/>
        </w:rPr>
        <w:t>Возможно, современные технические возможности человечества на данный момент ограничены заезженностью старых технологий в производстве компьютерной технике</w:t>
      </w:r>
      <w:r w:rsidR="00A96AB6">
        <w:rPr>
          <w:rStyle w:val="af"/>
          <w:rFonts w:ascii="PT Serif" w:hAnsi="PT Serif"/>
          <w:sz w:val="28"/>
        </w:rPr>
        <w:footnoteReference w:id="1"/>
      </w:r>
      <w:r>
        <w:rPr>
          <w:rFonts w:ascii="PT Serif" w:hAnsi="PT Serif"/>
          <w:sz w:val="28"/>
        </w:rPr>
        <w:t xml:space="preserve">, однако огромное количество вычислительных машин (по статистике, практически у каждой урбанистической семьи есть компьютер), </w:t>
      </w:r>
      <w:r w:rsidR="00A96AB6">
        <w:rPr>
          <w:rFonts w:ascii="PT Serif" w:hAnsi="PT Serif"/>
          <w:sz w:val="28"/>
        </w:rPr>
        <w:t>составляют тот самый количественный вычислительный фонд машинного анализа данных.</w:t>
      </w:r>
    </w:p>
    <w:p w:rsidR="00A96AB6" w:rsidRDefault="00A96AB6" w:rsidP="004443E1">
      <w:pPr>
        <w:rPr>
          <w:rFonts w:ascii="PT Serif" w:hAnsi="PT Serif"/>
          <w:sz w:val="28"/>
        </w:rPr>
      </w:pPr>
    </w:p>
    <w:p w:rsidR="00A96AB6" w:rsidRPr="004443E1" w:rsidRDefault="00A96AB6" w:rsidP="004443E1">
      <w:pPr>
        <w:rPr>
          <w:rFonts w:ascii="PT Serif" w:hAnsi="PT Serif"/>
          <w:sz w:val="28"/>
        </w:rPr>
      </w:pPr>
    </w:p>
    <w:sectPr w:rsidR="00A96AB6" w:rsidRPr="004443E1" w:rsidSect="00AE7B44">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AB6" w:rsidRDefault="00872AB6" w:rsidP="00A96AB6">
      <w:pPr>
        <w:spacing w:after="0" w:line="240" w:lineRule="auto"/>
      </w:pPr>
      <w:r>
        <w:separator/>
      </w:r>
    </w:p>
  </w:endnote>
  <w:endnote w:type="continuationSeparator" w:id="0">
    <w:p w:rsidR="00872AB6" w:rsidRDefault="00872AB6" w:rsidP="00A96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PT Serif">
    <w:panose1 w:val="020A0603040505020204"/>
    <w:charset w:val="CC"/>
    <w:family w:val="roman"/>
    <w:pitch w:val="variable"/>
    <w:sig w:usb0="A00002EF" w:usb1="5000204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707131"/>
      <w:docPartObj>
        <w:docPartGallery w:val="Page Numbers (Bottom of Page)"/>
        <w:docPartUnique/>
      </w:docPartObj>
    </w:sdtPr>
    <w:sdtContent>
      <w:p w:rsidR="00A96AB6" w:rsidRDefault="00A96AB6">
        <w:pPr>
          <w:pStyle w:val="ab"/>
          <w:jc w:val="right"/>
        </w:pPr>
        <w:r>
          <w:fldChar w:fldCharType="begin"/>
        </w:r>
        <w:r>
          <w:instrText>PAGE   \* MERGEFORMAT</w:instrText>
        </w:r>
        <w:r>
          <w:fldChar w:fldCharType="separate"/>
        </w:r>
        <w:r>
          <w:rPr>
            <w:noProof/>
          </w:rPr>
          <w:t>3</w:t>
        </w:r>
        <w:r>
          <w:fldChar w:fldCharType="end"/>
        </w:r>
      </w:p>
    </w:sdtContent>
  </w:sdt>
  <w:p w:rsidR="00A96AB6" w:rsidRDefault="00A96AB6">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AB6" w:rsidRDefault="00872AB6" w:rsidP="00A96AB6">
      <w:pPr>
        <w:spacing w:after="0" w:line="240" w:lineRule="auto"/>
      </w:pPr>
      <w:r>
        <w:separator/>
      </w:r>
    </w:p>
  </w:footnote>
  <w:footnote w:type="continuationSeparator" w:id="0">
    <w:p w:rsidR="00872AB6" w:rsidRDefault="00872AB6" w:rsidP="00A96AB6">
      <w:pPr>
        <w:spacing w:after="0" w:line="240" w:lineRule="auto"/>
      </w:pPr>
      <w:r>
        <w:continuationSeparator/>
      </w:r>
    </w:p>
  </w:footnote>
  <w:footnote w:id="1">
    <w:p w:rsidR="00A96AB6" w:rsidRDefault="00A96AB6">
      <w:pPr>
        <w:pStyle w:val="ad"/>
      </w:pPr>
      <w:r>
        <w:rPr>
          <w:rStyle w:val="af"/>
        </w:rPr>
        <w:footnoteRef/>
      </w:r>
      <w:r>
        <w:t xml:space="preserve"> Под компьютерной техникой здесь понимаются все вычислительные машины, произведённые человечеством за всё время существования информационного (постиндустриального общества). </w:t>
      </w:r>
      <w:bookmarkStart w:id="2" w:name="_GoBack"/>
      <w:bookmarkEnd w:id="2"/>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87"/>
    <w:rsid w:val="000B027F"/>
    <w:rsid w:val="002C2F86"/>
    <w:rsid w:val="004443E1"/>
    <w:rsid w:val="007361DD"/>
    <w:rsid w:val="00872AB6"/>
    <w:rsid w:val="00A96AB6"/>
    <w:rsid w:val="00AE7B44"/>
    <w:rsid w:val="00B40B09"/>
    <w:rsid w:val="00E125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3E1DA-A863-41BE-BE0C-F1337F2B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C2F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4443E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E1258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E12587"/>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E1258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Title"/>
    <w:basedOn w:val="a"/>
    <w:next w:val="a"/>
    <w:link w:val="a5"/>
    <w:uiPriority w:val="10"/>
    <w:qFormat/>
    <w:rsid w:val="00736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7361DD"/>
    <w:rPr>
      <w:rFonts w:asciiTheme="majorHAnsi" w:eastAsiaTheme="majorEastAsia" w:hAnsiTheme="majorHAnsi" w:cstheme="majorBidi"/>
      <w:spacing w:val="-10"/>
      <w:kern w:val="28"/>
      <w:sz w:val="56"/>
      <w:szCs w:val="56"/>
    </w:rPr>
  </w:style>
  <w:style w:type="character" w:styleId="a6">
    <w:name w:val="Emphasis"/>
    <w:basedOn w:val="a0"/>
    <w:uiPriority w:val="20"/>
    <w:qFormat/>
    <w:rsid w:val="007361DD"/>
    <w:rPr>
      <w:i/>
      <w:iCs/>
    </w:rPr>
  </w:style>
  <w:style w:type="character" w:styleId="a7">
    <w:name w:val="Hyperlink"/>
    <w:basedOn w:val="a0"/>
    <w:uiPriority w:val="99"/>
    <w:unhideWhenUsed/>
    <w:rsid w:val="00B40B09"/>
    <w:rPr>
      <w:color w:val="0000FF" w:themeColor="hyperlink"/>
      <w:u w:val="single"/>
    </w:rPr>
  </w:style>
  <w:style w:type="character" w:customStyle="1" w:styleId="10">
    <w:name w:val="Заголовок 1 Знак"/>
    <w:basedOn w:val="a0"/>
    <w:link w:val="1"/>
    <w:uiPriority w:val="9"/>
    <w:rsid w:val="002C2F86"/>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2C2F86"/>
    <w:pPr>
      <w:spacing w:line="259" w:lineRule="auto"/>
      <w:outlineLvl w:val="9"/>
    </w:pPr>
    <w:rPr>
      <w:lang w:eastAsia="ru-RU"/>
    </w:rPr>
  </w:style>
  <w:style w:type="character" w:customStyle="1" w:styleId="20">
    <w:name w:val="Заголовок 2 Знак"/>
    <w:basedOn w:val="a0"/>
    <w:link w:val="2"/>
    <w:uiPriority w:val="9"/>
    <w:rsid w:val="004443E1"/>
    <w:rPr>
      <w:rFonts w:asciiTheme="majorHAnsi" w:eastAsiaTheme="majorEastAsia" w:hAnsiTheme="majorHAnsi" w:cstheme="majorBidi"/>
      <w:color w:val="365F91" w:themeColor="accent1" w:themeShade="BF"/>
      <w:sz w:val="26"/>
      <w:szCs w:val="26"/>
    </w:rPr>
  </w:style>
  <w:style w:type="paragraph" w:styleId="21">
    <w:name w:val="toc 2"/>
    <w:basedOn w:val="a"/>
    <w:next w:val="a"/>
    <w:autoRedefine/>
    <w:uiPriority w:val="39"/>
    <w:unhideWhenUsed/>
    <w:rsid w:val="004443E1"/>
    <w:pPr>
      <w:spacing w:after="100"/>
      <w:ind w:left="220"/>
    </w:pPr>
  </w:style>
  <w:style w:type="paragraph" w:styleId="11">
    <w:name w:val="toc 1"/>
    <w:basedOn w:val="a"/>
    <w:next w:val="a"/>
    <w:autoRedefine/>
    <w:uiPriority w:val="39"/>
    <w:unhideWhenUsed/>
    <w:rsid w:val="004443E1"/>
    <w:pPr>
      <w:spacing w:after="100"/>
    </w:pPr>
  </w:style>
  <w:style w:type="paragraph" w:styleId="a9">
    <w:name w:val="header"/>
    <w:basedOn w:val="a"/>
    <w:link w:val="aa"/>
    <w:uiPriority w:val="99"/>
    <w:unhideWhenUsed/>
    <w:rsid w:val="00A96AB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96AB6"/>
  </w:style>
  <w:style w:type="paragraph" w:styleId="ab">
    <w:name w:val="footer"/>
    <w:basedOn w:val="a"/>
    <w:link w:val="ac"/>
    <w:uiPriority w:val="99"/>
    <w:unhideWhenUsed/>
    <w:rsid w:val="00A96AB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96AB6"/>
  </w:style>
  <w:style w:type="paragraph" w:styleId="ad">
    <w:name w:val="footnote text"/>
    <w:basedOn w:val="a"/>
    <w:link w:val="ae"/>
    <w:uiPriority w:val="99"/>
    <w:semiHidden/>
    <w:unhideWhenUsed/>
    <w:rsid w:val="00A96AB6"/>
    <w:pPr>
      <w:spacing w:after="0" w:line="240" w:lineRule="auto"/>
    </w:pPr>
    <w:rPr>
      <w:sz w:val="20"/>
      <w:szCs w:val="20"/>
    </w:rPr>
  </w:style>
  <w:style w:type="character" w:customStyle="1" w:styleId="ae">
    <w:name w:val="Текст сноски Знак"/>
    <w:basedOn w:val="a0"/>
    <w:link w:val="ad"/>
    <w:uiPriority w:val="99"/>
    <w:semiHidden/>
    <w:rsid w:val="00A96AB6"/>
    <w:rPr>
      <w:sz w:val="20"/>
      <w:szCs w:val="20"/>
    </w:rPr>
  </w:style>
  <w:style w:type="character" w:styleId="af">
    <w:name w:val="footnote reference"/>
    <w:basedOn w:val="a0"/>
    <w:uiPriority w:val="99"/>
    <w:semiHidden/>
    <w:unhideWhenUsed/>
    <w:rsid w:val="00A96A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5839">
      <w:bodyDiv w:val="1"/>
      <w:marLeft w:val="0"/>
      <w:marRight w:val="0"/>
      <w:marTop w:val="0"/>
      <w:marBottom w:val="0"/>
      <w:divBdr>
        <w:top w:val="none" w:sz="0" w:space="0" w:color="auto"/>
        <w:left w:val="none" w:sz="0" w:space="0" w:color="auto"/>
        <w:bottom w:val="none" w:sz="0" w:space="0" w:color="auto"/>
        <w:right w:val="none" w:sz="0" w:space="0" w:color="auto"/>
      </w:divBdr>
    </w:div>
    <w:div w:id="35870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3132B-4163-4378-A002-9A73E81C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271</Words>
  <Characters>1548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НИУ ВШЭ</dc:creator>
  <cp:keywords/>
  <dc:description/>
  <cp:lastModifiedBy>Студент НИУ ВШЭ</cp:lastModifiedBy>
  <cp:revision>1</cp:revision>
  <dcterms:created xsi:type="dcterms:W3CDTF">2017-09-27T07:42:00Z</dcterms:created>
  <dcterms:modified xsi:type="dcterms:W3CDTF">2017-09-27T08:18:00Z</dcterms:modified>
</cp:coreProperties>
</file>