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numPr>
          <w:ilvl w:val="0"/>
          <w:numId w:val="0"/>
        </w:numPr>
        <w:ind w:firstLine="709"/>
        <w:jc w:val="center"/>
        <w:outlineLvl w:val="0"/>
        <w:rPr>
          <w:b/>
          <w:iCs/>
          <w:caps/>
          <w:sz w:val="28"/>
          <w:szCs w:val="28"/>
        </w:rPr>
      </w:pPr>
      <w:r>
        <w:rPr>
          <w:color w:val="000000"/>
        </w:rPr>
      </w:r>
    </w:p>
    <w:p>
      <w:pPr>
        <w:pStyle w:val="Normal"/>
        <w:ind w:firstLine="709"/>
        <w:jc w:val="right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ind w:firstLine="709"/>
        <w:jc w:val="right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ind w:firstLine="709"/>
        <w:jc w:val="right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ind w:firstLine="709"/>
        <w:jc w:val="right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на выполнение работ по разработке единой интеграционной платформы информационных систем АО «АтомЭнергоСбыт»</w:t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Предмет закупки</w:t>
      </w:r>
      <w:r>
        <w:rPr>
          <w:sz w:val="28"/>
          <w:szCs w:val="28"/>
        </w:rPr>
        <w:t xml:space="preserve"> – выполнение работ по разработке единой интеграционной платформы информационных систем АО «АтомЭнергоСбыт»</w:t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Мурманск</w:t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pStyle w:val="Normal"/>
        <w:suppressAutoHyphens w:val="true"/>
        <w:spacing w:lineRule="auto" w:line="259" w:before="0" w:after="16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b/>
          <w:iCs/>
          <w:color w:val="000000"/>
          <w:sz w:val="26"/>
          <w:szCs w:val="26"/>
        </w:rPr>
      </w:pPr>
      <w:bookmarkStart w:id="0" w:name="_Toc341885285"/>
      <w:r>
        <w:rPr>
          <w:b/>
          <w:iCs/>
          <w:color w:val="000000"/>
          <w:sz w:val="26"/>
          <w:szCs w:val="26"/>
        </w:rPr>
        <w:t>ПЕРЕЧЕНЬ ВИДОВ УСЛУГ на основе справочника ОКПД 2,</w:t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b/>
          <w:iCs/>
          <w:color w:val="000000"/>
          <w:sz w:val="26"/>
          <w:szCs w:val="26"/>
        </w:rPr>
      </w:pPr>
      <w:bookmarkStart w:id="1" w:name="_Toc341885285"/>
      <w:r>
        <w:rPr>
          <w:b/>
          <w:iCs/>
          <w:color w:val="000000"/>
          <w:sz w:val="26"/>
          <w:szCs w:val="26"/>
        </w:rPr>
        <w:t>для закупки которых применяется настоящее техническое задание</w:t>
      </w:r>
      <w:bookmarkEnd w:id="1"/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85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120"/>
              <w:contextualSpacing/>
              <w:jc w:val="center"/>
              <w:rPr>
                <w:b/>
                <w:iCs/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</w:rPr>
              <w:t>Код ОКПД 2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b/>
                <w:iCs/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</w:rPr>
              <w:t>Вид услуги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22"/>
              <w:contextualSpacing/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62.01.11.000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26"/>
              <w:contextualSpacing/>
              <w:jc w:val="both"/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Услуги по проектированию и разработке информационных технологий для прикладных задач и тестированию программного обеспечения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22"/>
              <w:contextualSpacing/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62.01.29.000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26"/>
              <w:contextualSpacing/>
              <w:jc w:val="both"/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Оригиналы программного обеспечения прочие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center"/>
        <w:rPr>
          <w:b/>
          <w:iCs/>
          <w:color w:val="000000"/>
          <w:sz w:val="26"/>
          <w:szCs w:val="26"/>
        </w:rPr>
      </w:pPr>
      <w:r>
        <w:rPr>
          <w:b/>
          <w:iCs/>
          <w:color w:val="000000"/>
          <w:sz w:val="26"/>
          <w:szCs w:val="26"/>
        </w:rPr>
        <w:t>ВИД УСЛУГ на основе справочника ОКВЭД2,</w:t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b/>
          <w:iCs/>
          <w:color w:val="000000"/>
          <w:sz w:val="26"/>
          <w:szCs w:val="26"/>
        </w:rPr>
      </w:pPr>
      <w:r>
        <w:rPr>
          <w:b/>
          <w:iCs/>
          <w:color w:val="000000"/>
          <w:sz w:val="26"/>
          <w:szCs w:val="26"/>
        </w:rPr>
        <w:t>для закупки которых применяется настоящее техническое задание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85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22"/>
              <w:contextualSpacing/>
              <w:jc w:val="center"/>
              <w:rPr>
                <w:b/>
                <w:iCs/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b/>
                <w:iCs/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</w:rPr>
              <w:t>Вид услуги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22"/>
              <w:contextualSpacing/>
              <w:jc w:val="center"/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62.01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both"/>
              <w:rPr>
                <w:iCs/>
                <w:color w:val="000000"/>
                <w:sz w:val="26"/>
                <w:szCs w:val="26"/>
              </w:rPr>
            </w:pPr>
            <w:r>
              <w:rPr>
                <w:iCs/>
                <w:color w:val="000000"/>
                <w:sz w:val="26"/>
                <w:szCs w:val="26"/>
              </w:rPr>
              <w:t>Разработка компьютерного программного обеспечения</w:t>
            </w:r>
          </w:p>
        </w:tc>
      </w:tr>
    </w:tbl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1. НАИМЕНОВАНИЕ РАБОТЫ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2. ЦЕЛЬ И ЗАДАЧИ РАБОТЫ.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left="851" w:hanging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Подраздел 2.1 Выбор направлений исследований </w:t>
      </w:r>
    </w:p>
    <w:p>
      <w:pPr>
        <w:pStyle w:val="Normal"/>
        <w:suppressAutoHyphens w:val="true"/>
        <w:spacing w:before="0" w:after="0"/>
        <w:ind w:left="851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Подраздел 2.2 Цель и задачи работы</w:t>
      </w:r>
    </w:p>
    <w:p>
      <w:pPr>
        <w:pStyle w:val="Normal"/>
        <w:suppressAutoHyphens w:val="true"/>
        <w:spacing w:before="0" w:after="0"/>
        <w:ind w:left="851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Подраздел 2.3 Стадийность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3. ОПИСАНИЕ РАБОТ.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РАЗДЕЛ 4. ИСХОДНЫЕ ДАННЫЕ ДЛЯ ВЫПОЛНЕНИЯ РАБОТЫ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</w:tabs>
        <w:suppressAutoHyphens w:val="true"/>
        <w:spacing w:before="0" w:after="0"/>
        <w:ind w:left="1276" w:hanging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Подраздел 4.1 Исходные данные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left="1418" w:hanging="1418"/>
        <w:contextualSpacing/>
        <w:outlineLvl w:val="0"/>
        <w:rPr>
          <w:sz w:val="28"/>
          <w:szCs w:val="28"/>
        </w:rPr>
      </w:pPr>
      <w:r>
        <w:rPr>
          <w:sz w:val="28"/>
          <w:szCs w:val="28"/>
        </w:rPr>
        <w:t>РАЗДЕЛ 5. ТРЕБОВАНИЯ К СОСТАВУ ТЕХНИЧЕСКОГО ПРЕДЛОЖЕНИЯ УЧАСТНИКА</w:t>
      </w:r>
    </w:p>
    <w:p>
      <w:pPr>
        <w:pStyle w:val="Normal"/>
        <w:suppressAutoHyphens w:val="true"/>
        <w:spacing w:before="0" w:after="0"/>
        <w:ind w:left="1418" w:hanging="141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РАЗДЕЛ 6. ТРЕБОВАНИЯ И УСЛОВИЯ К РАЗРАБОТКЕ ПРИРОДООХРАННЫХ МЕР И МЕРОПРИЯТИЙ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7. ТРЕБОВАНИЯ К КАЧЕСТВУ ВЫПОЛНЕНИЯ РАБОТ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8. ТРЕБОВАНИЕ К СРОКУ ВЫПОЛНЕНИЯ РАБОТ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9. ПОРЯДОК ПРИЕМКИ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left="851" w:hanging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Подраздел 9.1 Требования к документации для приемки</w:t>
      </w:r>
    </w:p>
    <w:p>
      <w:pPr>
        <w:pStyle w:val="Normal"/>
        <w:suppressAutoHyphens w:val="true"/>
        <w:spacing w:before="0" w:after="0"/>
        <w:ind w:left="851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Подраздел 9.2 Порядок рассмотрения и приемки результатов работы. Порядок приемки отдельных этапов работ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10. ТРЕБОВАНИЯ К ОТЧЕТНОСТИ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</w:tabs>
        <w:suppressAutoHyphens w:val="true"/>
        <w:spacing w:before="0" w:after="0"/>
        <w:ind w:left="851" w:hanging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Подраздел 10.1 Отчетные материалы</w:t>
      </w:r>
    </w:p>
    <w:p>
      <w:pPr>
        <w:pStyle w:val="Normal"/>
        <w:tabs>
          <w:tab w:val="clear" w:pos="720"/>
          <w:tab w:val="left" w:pos="851" w:leader="none"/>
        </w:tabs>
        <w:suppressAutoHyphens w:val="true"/>
        <w:spacing w:before="0" w:after="0"/>
        <w:ind w:left="851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Подраздел 10.2 Формат отчетной документации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11. ПЕРЕЧЕНЬ ПРИНЯТЫХ СОКРАЩЕНИЙ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contextualSpacing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РАЗДЕЛ 12. ПЕРЕЧЕНЬ ПРИЛОЖЕНИЙ</w:t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РАЗДЕЛ 1. НАИМЕНОВАНИЕ РАБОТЫ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по разработке единой интеграционной платформы информационных систем АО «АтомЭнергоСбыт».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2. ЦЕЛЬ И ЗАДАЧИ РАБОТЫ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Подраздел 2.1 Выбор направлений исследований 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интеграционная платформа (далее – Система, ЕИП) должна создавать основу для последующего объединения данных различных информационных систем, используемых предприятием, в единое информационное пространство построения распределённого информационного ландшафта предприятия.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 2.2 Цель и задачи работы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создания системы является: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повышение эффективности использования данных информационных систем путем интеграции систем АСУСД СТЕК ЭНЕРГО ФЛ, АСУСД СТЕК ЭНЕРГО ЮЛ, ЛК ФЛ, ЛК ЮЛ, МП, </w:t>
            </w:r>
            <w:r>
              <w:rPr>
                <w:color w:val="000000"/>
                <w:sz w:val="28"/>
                <w:szCs w:val="28"/>
              </w:rPr>
              <w:t>ЕООКЦ (</w:t>
            </w:r>
            <w:r>
              <w:rPr>
                <w:color w:val="000000"/>
                <w:sz w:val="28"/>
                <w:szCs w:val="28"/>
                <w:lang w:val="en-US"/>
              </w:rPr>
              <w:t>IVR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гибкого и оперативного механизма изменения логики и топологии взаимодействия приложений;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механизмов и настроек типовых адаптеров и сервисов, позволяющих приводить взаимодействие приложений к единой управляемой схеме интеграции;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настройки правил трансформации данных в различные форматы с различными алгоритмами преобразования. Возможность построения многошаговых алгоритмов преобразования данных;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интеграции должно обеспечивать требованиям: информационные системы рассматриваются как поставщики и потребители сервисов, все опубликованные в интеграционной платформе сервисы помещаются в единый реестр с возможностью повторного использования;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реализовывать и изменять интеграционные сценарии без существенных затрат разработчиков на корректировку программных кодов;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централизация средств контроля и администрирования — позволяет избежать «размытия» точки ответственности за интеграционные сценарии, обеспечить оперативное наблюдение и раннее оповещение в случае сбоев;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безопасность — возможность использования встроенных средств аутентификации и авторизации для обеспечения контроля доступа к сервисам на уровне самой шины, избавляя разработчиков интеграционных сценариев от задач по реализации этих механизмов.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Подраздел 2.3 Стадийность </w:t>
            </w:r>
            <w:r>
              <w:rPr>
                <w:i/>
                <w:sz w:val="28"/>
                <w:szCs w:val="28"/>
              </w:rPr>
              <w:t>(этапы)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ind w:left="731" w:firstLine="22"/>
              <w:contextualSpacing/>
              <w:jc w:val="both"/>
              <w:rPr>
                <w:bCs/>
                <w:sz w:val="28"/>
                <w:szCs w:val="28"/>
              </w:rPr>
            </w:pPr>
            <w:bookmarkStart w:id="2" w:name="_Hlk31628962"/>
            <w:bookmarkEnd w:id="2"/>
            <w:r>
              <w:rPr>
                <w:bCs/>
                <w:sz w:val="28"/>
                <w:szCs w:val="28"/>
              </w:rPr>
              <w:t xml:space="preserve">Все работы по созданию ЕИП должны выполняться поэтапно. Этапы могут выполняться последовательно или одновременно. </w:t>
            </w:r>
          </w:p>
          <w:p>
            <w:pPr>
              <w:pStyle w:val="Normal"/>
              <w:widowControl w:val="false"/>
              <w:spacing w:lineRule="auto" w:line="276" w:before="0" w:after="0"/>
              <w:ind w:left="731" w:firstLine="22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Отчетные материалы по каждому этапу предоставляются Исполнителем Заказчику в сроки и в объеме определенные в п 9.1. данного технического задания. </w:t>
            </w:r>
          </w:p>
          <w:p>
            <w:pPr>
              <w:pStyle w:val="Normal"/>
              <w:widowControl w:val="false"/>
              <w:spacing w:lineRule="auto" w:line="276" w:before="0" w:after="0"/>
              <w:ind w:left="731" w:firstLine="22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31" w:firstLine="22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Заказчик (по запросу Исполнителя) должен предоставлять промежуточные результаты работ в виде отчетов о состоянии проекта, предоставленных материалов, текущего статуса работ по этапу и т.п. </w:t>
            </w:r>
          </w:p>
          <w:p>
            <w:pPr>
              <w:pStyle w:val="Normal"/>
              <w:widowControl w:val="false"/>
              <w:spacing w:lineRule="auto" w:line="276" w:before="0" w:after="0"/>
              <w:ind w:left="731" w:firstLine="22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31" w:firstLine="22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Исполнителем должен быть разработан и представлен на согласование Заказчику подробный План-график выполнения работ по проекту, включающий в себя:</w:t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1. Проведение предпроектного обследования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lineRule="auto" w:line="276" w:before="0" w:after="0"/>
              <w:ind w:left="1298" w:hanging="283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сравнительного анализа существующих интеграционных решений и сервисов направленных на достижение целей, описанных данным техническим заданием;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lineRule="auto" w:line="276" w:before="0" w:after="0"/>
              <w:ind w:left="1298" w:hanging="283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материалов о преимуществах и недостатках различных методик создания интеграционных инструментов, направленных на создание единого информационного поля данных технологических систем;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lineRule="auto" w:line="276" w:before="0" w:after="0"/>
              <w:ind w:left="1298" w:hanging="283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обоснования программно-технических решений, направленных на создание единой интеграционной платформы. Должно включать обследование информационных систем Заказчика;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tabs>
                <w:tab w:val="clear" w:pos="720"/>
                <w:tab w:val="left" w:pos="1298" w:leader="none"/>
              </w:tabs>
              <w:suppressAutoHyphens w:val="true"/>
              <w:spacing w:lineRule="auto" w:line="276" w:before="0" w:after="0"/>
              <w:ind w:left="1298" w:hanging="283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заключения о возможности создания Единой информационной платформы:</w:t>
            </w:r>
          </w:p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описания необходимых для интеграции протоколов обмена данными и web-сервисов для последующего проектирования подсистемы адаптеров/коннекторов;</w:t>
            </w:r>
          </w:p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описания данных и алгоритмов их преобразования и передачи в другие системы для последующего проектирования необходимых сервисов;</w:t>
            </w:r>
          </w:p>
          <w:p>
            <w:pPr>
              <w:pStyle w:val="Normal"/>
              <w:widowControl w:val="false"/>
              <w:numPr>
                <w:ilvl w:val="0"/>
                <w:numId w:val="20"/>
              </w:numPr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бизнес-процессов и маршрутов данных, для последующего проектирования механизмов интеграции.</w:t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uppressAutoHyphens w:val="true"/>
              <w:spacing w:lineRule="auto" w:line="276" w:before="0" w:after="0"/>
              <w:ind w:left="1298" w:hanging="283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заключения о возможности внедрения единой информационной платформы на базе информационных ресурсов АО «АтомЭнергоСбыт»:</w:t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необходимых мероприятий для осуществления внедрения.</w:t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2. Работы по проектированию системы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технического проекта, предусматривающего: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76" w:before="0" w:after="0"/>
              <w:ind w:left="1865" w:hanging="3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архитектуры системы;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76" w:before="0" w:after="0"/>
              <w:ind w:left="1865" w:hanging="3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применяемых интеграционных механизмов и протоколов обмена;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76" w:before="0" w:after="0"/>
              <w:ind w:left="1865" w:hanging="3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хранилища данных и модели базы данных; 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76" w:before="0" w:after="0"/>
              <w:ind w:left="1865" w:hanging="3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программной структуры и решений по созданию программы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графика и сметы выполнения работ по созданию Системы, отвечающей требованиям ТЗ с выделением работ на создание РИД.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требований и методик к процессу предварительных испытаний.</w:t>
            </w:r>
          </w:p>
          <w:p>
            <w:pPr>
              <w:pStyle w:val="Normal"/>
              <w:widowControl w:val="false"/>
              <w:spacing w:lineRule="auto" w:line="276" w:before="0" w:after="0"/>
              <w:ind w:left="1069" w:hanging="3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3. Разработка единой интеграционной платформы информационных систем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 по разработке интеграционной платформы в соответствии с утвержденным графиком проведения работ и исходя из требований настоящего технического задания и технического проекта.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предварительных испытаний.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инструкций и эксплуатационной документации.</w:t>
            </w:r>
          </w:p>
          <w:p>
            <w:pPr>
              <w:pStyle w:val="Normal"/>
              <w:widowControl w:val="false"/>
              <w:spacing w:lineRule="auto" w:line="276" w:before="0" w:after="0"/>
              <w:ind w:firstLine="709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4. Инструктаж специалистов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инструктажей специалистов по эксплуатации, настройке и администрированию системы и ее частей.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инструктажей специалистов по доработке, расширению функционала, разработки дополнительных адаптеров/коннекторов, логики маршрутизации.</w:t>
            </w:r>
          </w:p>
          <w:p>
            <w:pPr>
              <w:pStyle w:val="Normal"/>
              <w:widowControl w:val="false"/>
              <w:spacing w:lineRule="auto" w:line="276" w:before="0" w:after="0"/>
              <w:ind w:firstLine="709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5. Опытная эксплуатация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опытной эксплуатации.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Фиксация и устранение замечаний, ошибок, выявляемых в ходе опытной эксплуатации.</w:t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6. Приемо-сдаточные испытания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приемо-сдаточных испытаний.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Фиксация и устранение замечаний, ошибок, выявленных в ходе </w:t>
            </w:r>
            <w:r>
              <w:rPr>
                <w:sz w:val="28"/>
                <w:szCs w:val="28"/>
              </w:rPr>
              <w:t>приемо-сдаточных испытаний.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повторных приемо-сдаточных испытаний (при необходимости).</w:t>
            </w:r>
          </w:p>
          <w:p>
            <w:pPr>
              <w:pStyle w:val="Normal"/>
              <w:widowControl w:val="false"/>
              <w:spacing w:lineRule="auto" w:line="276" w:before="0" w:after="0"/>
              <w:ind w:left="720" w:hanging="0"/>
              <w:contextualSpacing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bookmarkStart w:id="3" w:name="_Hlk31628962"/>
            <w:bookmarkStart w:id="4" w:name="_Hlk31628962"/>
            <w:bookmarkEnd w:id="4"/>
          </w:p>
        </w:tc>
      </w:tr>
    </w:tbl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3. ОПИСАНИЕ РАБОТ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Общие требования 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left="731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Единая интеграционная платформа (ЕИП) должна обеспечивать взаимодействие информационных систем через единую интеграционную шину, при этом обеспечивать транзакции, преобразование данных, сохранность сообщений, сквозное управление бизнес-процессами.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left="731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Система должна быть реализована на основе модульного принципа и состоять из следующих подсистем: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Подсистема адаптеров (обеспечивающая взаимодействие с информационными системами по стандартизованным интерфейсам и протоколам).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Подсистема сервисов (система блоков-программ обработки и преобразования данных, должна обеспечивать плавное наращивание функциональности и мощности в соответствии с планами развития ИТ-ландшафта компании).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Подсистема маршрутизации данных (обеспечивает как интеграцию систем точка-точка, так и интеграцию с многократным преобразованием данных).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Подсистема мониторинга и контроля. Возможность оперативного и ретроспективного анализа протекания процессов интеграции.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Подсистема Администрирования, которая должна обеспечивать возможность настройки и контроля доступа Пользователей и Систем к ЕИП.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Для создания и поддержки инфраструктуры обмена сообщениями между информационными системами Заказчика должны быть реализованы инструменты и механизмы интеграции, обеспечивающие следующие возможности: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Стандартизация и унификация форматов, передаваемых данных и информационных сообщений.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Гарантированная доставка сообщений всем участникам информационного взаимодействия.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Поддержка синхронного и асинхронного способов передачи сообщений и обращения к сервисам.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Поддержка статической и алгоритмической (динамической) маршрутизации сообщений.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Гибкая интеграция (на основе различных типов коннекторов) с информационными системами, реализованными на различных платформах.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Вертикальная и горизонтальны масштабируемость интеграционного контура.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Разграничение прав доступа к объектам интеграционного контура в соответствии с рабочим профилем пользователя.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Централизованная разработка и управление потоками данных в рамках интеграционного ландшафта через единую точку администрирования.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Единые механизмы контроля и мониторинга инфраструктуры обмена.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Требования к составу компонентов ЕИП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 состав инструментов и механизмов управления ЕИП должным быть включены: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Службы интеграции – коннекторы, технологические адаптеры и адаптеры к информационным системам Заказчика, обеспечивающие взаимодействие с информационными системами в том формате, который для них приемлем, представляющие информацию из этих систем в унифицированном формате. Форматы сообщений, требования к коннекторам и адаптерам прорабатываются на этапе подготовки технического проекта;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Службы передачи данных – передача и обработка сообщений по заданным маршрутам, валидация, фильтрация и трансформация данных, реализация дополнительной бизнес-логики при обмене сообщениями, оркестровка служб и сервисов. Правила маршрутизации, валидации, фильтрации, трансформации данных, а также дополнительная бизнес-логика прорабатываются на этапе подготовки технического проекта;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Среда разработки интеграционных сценариев, позволяющих обходиться без низкоуровневого кодирования. Дополнительные требования прорабатываются на этапе подготовки технического проекта;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Инструменты администрирования, контроля и управления (аудиты, протоколирование, состояние сервисов и процесса их работы).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Масштабируемость ЕИП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передачу сообщений между -информационными системами, размещенными на различных серверах (физических и виртуальных) географически распределенных между филиалами/ОП (КолАтомЭнергоСбыт, ТверьАтомЭнергоСбыт, КурскАтомЭнергоСбыт, СмоленскАтомЭнергоСбыт, Центральный аппарат АтомЭнергоСбыт). Перечень таких Систем должен быть уточнен на этапах технического проектирования.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возможность увеличения количества подключений информационных систем и серверов.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поддерживать передачу неограниченного числа сообщений и не иметь ограничений на объем передаваемых сообщений.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быстродействие обработки не менее 500 сообщений в секунду в следующих сценарных условиях: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Количество обрабатываемых сообщений: не менее 30 000 000 сообщений/сутки.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Суточный объем информации: не менее 300 Гб/сутки.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Максимальный объем единицы информации, обрабатываемый ЕИП: 100 Мб (средний объем: 10 Кб).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144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соответствии времени доставки сообщений с регламентным промежуткам времени соответствующих бизнес-процессов информационных систем, которые будут определены на этапе разработки технического проекта.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Гарантированная доставка сообщений (данных)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гарантированную передачу данных между интегрируемыми информационными системами. В случае возникновения неисправимых ошибок при передаче сообщений между системами интеграционного контура, оно должно попадать в отдельную очередь для ручной обработки администратором. Должен быть предусмотрен специальный механизм оповещения в случае обнаружения проблем транспорта данных. Должны протоколироваться все события передачи сообщений.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Поддерживаемые протоколы обмена: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Механизмы интеграции между информационными системами должны поддерживать обмен с помощью коннекторов поддерживающие следующие протоколы обмена: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REST services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SOAP </w:t>
            </w:r>
            <w:r>
              <w:rPr>
                <w:bCs/>
                <w:iCs/>
                <w:sz w:val="28"/>
                <w:szCs w:val="28"/>
                <w:lang w:val="en-US"/>
              </w:rPr>
              <w:t>services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MS SQL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MySQL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PostgreSQL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File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SFTP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Список протоколов обмена может быть уточнен на этапе подготовки технического проекта.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Поддерживаемые форматы передачи данных: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Передача данных должна осуществляться с поддержкой различных форматов предаваемых сообщений: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XML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J</w:t>
            </w:r>
            <w:r>
              <w:rPr>
                <w:bCs/>
                <w:iCs/>
                <w:sz w:val="28"/>
                <w:szCs w:val="28"/>
                <w:lang w:val="en-US"/>
              </w:rPr>
              <w:t>SON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CSV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DBF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TXT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XLS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Список форматов передачи данных может быть уточнен на этапе подготовки технического проекта.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Возможность разработки новых средств подключения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Реализованные инструменты и механизмы интеграции должны предоставлять возможность разработки и использования новых средств подключения к внешним приложениям помимо реализуемых в рамках данного ТЗ, а также иметь возможность модификации с учетом изменения внешних и внутренних требований Заказчика.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Распределенная инфраструктура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иметь возможность построения распределенного интеграционного контура с разбивкой его на несколько независимых сегментов, распределенных территориально и/или административно. При этом должна обеспечиваться возможность взаимодействия между сегментами интеграционного ландшафта: обмен сообщениями между сегментами, поддержка распределенных процессов маршрутизации.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Безопасность передачи данных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защиту от несанкционированного доступа (НСД) на уровне не ниже установленного требованиями, предъявляемыми к категории 1Г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Компоненты подсистемы защиты от НСД должны обеспечивать: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идентификацию пользователя;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проверку полномочий пользователя при работе с ЕИП;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разграничение доступа пользователей на уровне задач и информационных массивов.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left="731" w:hanging="22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Протоколы аудита системы и приложений должны быть защищены от несанкционированного доступа как локально, так и в архиве.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Защищённая часть ЕИП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Защищённая часть ЕИП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Защищённая часть ЕИП должна предотвратить работу с некатегоризированной информацией под сеансом пользователя, авторизованного на доступ к конфиденциальной информации.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Защищённая часть ЕИП должна использовать многоуровневую систему защиты. Защищённая часть ЕИП должна быть отделена от незащищённой части системы межсетевым экраном.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Защита информации, содержащейся в ЕИП, является составной частью работ по созданию и эксплуатации ЕИП и обеспечивается на всех стадиях (этапах) ее модернизации, и в ходе эксплуатации и вывода из эксплуатации путем принятия организационных и технических мер защиты информации, направленных на блокирование (нейтрализацию) угроз безопасности информации в ЕИП, в рамках системы защиты информации (далее – СЗИ).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 ходе выполнения работ по разработке ЕИП необходимо осуществить следующие работы в рамках актуализации/модернизации СЗИ в ЕИП: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проанализировать данные о назначении, функциях, структуре и составе ЕИП, физических, логических, функциональных и технологических взаимосвязей между сегментами ЕИП, условиях и режимах функционирования модернизируемой ЕИП и её отдельных сегментов, характере обрабатываемой информации;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проанализировать класс защищённости ЕИП, тип актуальных угроз безопасности персональных данных и уровень защищённости персональных данных при их обработке в ЕИП;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создать документ «Модель угроз и нарушителя безопасности информации», где должны быть определены угрозы безопасности информации для типового сегмента по результату оценки возможности (потенциала, оснащенности и мотивации) внешних и внутренних нарушителей, анализ возможных уязвимостей Системы, возможных способов реализации угроз безопасности информации и последствий от нарушения свойств безопасности информации (конфиденциальности, целостности, доступности). Для определения угроз безопасности информации и разработки (актуализации) модели угроз безопасности информации должны применяться методические документы, разработанные ФСТЭК России, в том числе проект методического документа ФСТЭК России «Методика определения угроз безопасности информации в информационных системах». При формировании общего перечня угроз безопасности информации в качестве исходных данных для определения угроз безопасности информации должен использоваться Банк данных угроз безопасности информации ФСТЭК России (bdu.fstec.ru).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шифрование передаваемых сообщений с помощью алгоритмов: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AES</w:t>
            </w:r>
            <w:r>
              <w:rPr>
                <w:bCs/>
                <w:iCs/>
                <w:sz w:val="28"/>
                <w:szCs w:val="28"/>
              </w:rPr>
              <w:t>;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RC2</w:t>
            </w:r>
            <w:r>
              <w:rPr>
                <w:bCs/>
                <w:iCs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поддерживать безопасные протоколы сетевого соединения: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SSL </w:t>
            </w:r>
            <w:r>
              <w:rPr>
                <w:bCs/>
                <w:iCs/>
                <w:sz w:val="28"/>
                <w:szCs w:val="28"/>
              </w:rPr>
              <w:t xml:space="preserve">версий 2.0 и 3.0; 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TLS </w:t>
            </w:r>
            <w:r>
              <w:rPr>
                <w:bCs/>
                <w:iCs/>
                <w:sz w:val="28"/>
                <w:szCs w:val="28"/>
              </w:rPr>
              <w:t>версий 1.0, 1.1 и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1.2.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Требования к безопасности передачи данных могут быть уточнены на этапе подготовки технического проекта.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Отказоустойчивость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обеспечивать возможность восстановления работоспособности без потери данных при устранении причин, вызвавших неработоспособность сервисов.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Отказ любого из компонентов интеграционного контура не должен приводить к неработоспособности системы обменов в целом.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 период сбоя каналов передачи данных ЕИП должна обеспечивать кэширование данных, с возможностью настройки размера кэша.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Программное обеспечение ЕИП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Сохранность информации должна обеспечиваться при разрушении данных при механических и электронных сбоях и отказах в работе компьютеров на основе программных процедур восстановления информации с использованием хранимых копий баз данных, файлов журналов изменений в базах данных, копий программного обеспечения.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Визуализация настройки маршрутов потоков данных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Должна поддерживаться возможность определения маршрутов передачи данных между информационными системами с помощью графических средств разработки или механизмов визуализации.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Визуализация схемы взаимосвязи компонент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Должна предоставляться возможность отображения интерактивной схемы компонентов интеграционного контура и их состояний.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Наличие средств отладки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Должна предоставляться возможность генерации (имитации отправки) сообщений для отладки интеграционного обмена без привлечения систем-участников обмена.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Для систем на платформе 1С:Предприятия 8.3 должна быть предоставлена возможность инициации выгрузки данных без использования прикладного решения из интерфейса средств отладки обмена.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Преобразование входящих сообщений (данных)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трансформировать формат входящих сообщений из формата одних информационных систем в форматы, используемые в других информационных системах. При этом алгоритмы трансформации должны задаваться с помощью специализированного визуально редактора.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 этапе разработки технического проекта должны быть определены форматы и правила преобразования, реализуемые в рамках проекта.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Наличие аудита (протоколирования)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Все случаи сбоев в передаче сообщений между интегрируемыми бизнес-система должна протоколироваться. Должен быть обеспечен быстрый поиск логов обмена по всем компонентам интеграционного контура в едином инструменте администрирования интеграционного ландшафта.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Наличие рабочего стола администратора системы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Должен быть предоставлен единый пользовательский интерфейс для администраторов, наглядно предоставляющий информацию: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Расширенные сведения о сбоях при передаче данных;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="0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Статусы сообщений и журналы обработки сообщений;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="0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Статистика транспорта сообщений.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Пользовательский интерфейс должен обеспечивать управление всеми компонентами ЕИП, массивами данных и интеграционными взаимодействиями из единого центра.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Подсистема администрирования. Должна обеспечивать возможность настройки параметров безопасности системы, прав доступа пользователей и параметров работы системы.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Должен существовать механизм оперативного оповещения администраторов интеграционного контура о возникающих сбоях по электронной почте.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Должна быть реализована возможность интеграции со сторонними системами мониторинга или запись событий в WindowsEventLog.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Мониторинг состояния интеграционного контура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содержать в себе средство удаленного централизованного мониторинга состояния всех компонент интеграционного контура.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Средство мониторинга должно быть реализовано с помощью веб технологи и доступна для просмотра с помощью браузеров (</w:t>
            </w:r>
            <w:r>
              <w:rPr>
                <w:bCs/>
                <w:iCs/>
                <w:sz w:val="28"/>
                <w:szCs w:val="28"/>
                <w:lang w:val="en-US"/>
              </w:rPr>
              <w:t>Chrome</w:t>
            </w:r>
            <w:r>
              <w:rPr>
                <w:bCs/>
                <w:iCs/>
                <w:sz w:val="28"/>
                <w:szCs w:val="28"/>
              </w:rPr>
              <w:t xml:space="preserve">, </w:t>
            </w:r>
            <w:r>
              <w:rPr>
                <w:bCs/>
                <w:iCs/>
                <w:sz w:val="28"/>
                <w:szCs w:val="28"/>
                <w:lang w:val="en-US"/>
              </w:rPr>
              <w:t>Mozilla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Firefox</w:t>
            </w:r>
            <w:r>
              <w:rPr>
                <w:bCs/>
                <w:iCs/>
                <w:sz w:val="28"/>
                <w:szCs w:val="28"/>
              </w:rPr>
              <w:t xml:space="preserve">, </w:t>
            </w:r>
            <w:r>
              <w:rPr>
                <w:bCs/>
                <w:iCs/>
                <w:sz w:val="28"/>
                <w:szCs w:val="28"/>
                <w:lang w:val="en-US"/>
              </w:rPr>
              <w:t>Edge</w:t>
            </w:r>
            <w:r>
              <w:rPr>
                <w:bCs/>
                <w:iCs/>
                <w:sz w:val="28"/>
                <w:szCs w:val="28"/>
              </w:rPr>
              <w:t xml:space="preserve">, </w:t>
            </w:r>
            <w:r>
              <w:rPr>
                <w:bCs/>
                <w:iCs/>
                <w:sz w:val="28"/>
                <w:szCs w:val="28"/>
                <w:lang w:val="en-US"/>
              </w:rPr>
              <w:t>Safari</w:t>
            </w:r>
            <w:r>
              <w:rPr>
                <w:bCs/>
                <w:iCs/>
                <w:sz w:val="28"/>
                <w:szCs w:val="28"/>
              </w:rPr>
              <w:t>) десктопных и мобильных версий.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76" w:beforeAutospacing="1" w:afterAutospacing="1"/>
              <w:ind w:firstLine="709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 системе должна быть возможность отправки уведомлений о высокой загруженности ЕИП на электронную почту.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Требования к надежности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Система должна обеспечивать хранение информации обо всех действиях пользователя (внесение, изменение, удаление и т.п.). При этом должны фиксироваться: дата операции, пользователь, тип операции, параметры операции и идентификатор изменяемого объекта. Требования по продолжительности и хранения данных должны быть сформированы на этапе проектирования.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На этапе проектирования системы необходимо разделить данные по типам обрабатываемой и хранимой информации. Определить уровень доступа к каждому типу информации и сроки хранения данных каждого типа.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Система должна обеспечивать возможность восстановления данных из резервных копий в случае возникновения сбоев и отказов.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Средства Системы должны обеспечивать сохранность данных и предоставлять администратору возможность выбора уровня защищенности базы данных от несанкционированного использования.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hd w:val="clear" w:color="auto" w:fill="FFFFFF"/>
              <w:tabs>
                <w:tab w:val="clear" w:pos="720"/>
                <w:tab w:val="left" w:pos="1134" w:leader="none"/>
              </w:tabs>
              <w:suppressAutoHyphens w:val="true"/>
              <w:spacing w:lineRule="auto" w:line="276" w:beforeAutospacing="1" w:afterAutospacing="1"/>
              <w:contextualSpacing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Требования к патентной чистоте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Патентная чистота программного комплекса и его частей должна быть обеспечена в отношении патентов, действующих на территории Российской Федерации.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Реализация технических, программных, организационных и иных решений, предусмотренных проектом Системы, не должна приводить к нарушению авторских и смежных прав третьих лиц.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При использовании в ЕИП программ (программных комплексов или компонентов), разработанных третьими лицами, условия, на которых передается право на использование (исполнение) этих программ, не должны накладывать ограничений, препятствующих использованию ЕИП по ее прямому назначению. 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Autospacing="1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Установка ЕИП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1134" w:leader="none"/>
              </w:tabs>
              <w:spacing w:lineRule="auto" w:line="276" w:beforeAutospacing="1" w:after="0"/>
              <w:ind w:left="720" w:hanging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ЕИП должна использовать только те сторонние компоненты, которые приобретены (получены) и используются без нарушений лицензионных соглашений. Это требование должно обеспечивать соблюдение авторских прав разработчиков используемых сторонних компонент, при этом лицензионные соглашения должны позволять оформить исключительные права (РИД) на ЕИП в целом.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459" w:leader="none"/>
              </w:tabs>
              <w:suppressAutoHyphens w:val="true"/>
              <w:spacing w:before="0" w:after="0"/>
              <w:ind w:left="34" w:firstLine="709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4. ИСХОДНЫЕ ДАННЫЕ ДЛЯ ВЫПОЛНЕНИЯ РАБОТЫ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 4.1 Исходные данные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Характеристика объектов автоматизации.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Объектами автоматизации в рамках данного технического задания являются информационные системы, используемые в АО «АтомЭнергоСбыт»: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АСУСД СТЕК ЭНЕРГО ФЛ – автоматизированная система учета сбытовой деятельности с абонентами (физическими лицами), состоящая из модуля расчётов, модуля претензионно-исковой деятельности, модуля работы по ограничениям, модуля интеграции с «ГИС ЖКХ»;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АСУСД СТЕК ЭНЕРГО ЮЛ – автоматизированная система учета сбытовой деятельности с юридическими лицами, состоящая из модуля договорной деятельности, модуля расчетов, модуля претензионно-исковой деятельности, модуля работы по ограничениям, модуля интеграции с «СБИС онлайн»;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ЛК ЮЛ – личный кабинет юридического лица;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ЛК ФЛ – личный кабинет физического лица;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МП – мобильное приложение для абонентов (физических лиц);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ЕООКЦ (</w:t>
            </w:r>
            <w:r>
              <w:rPr>
                <w:color w:val="000000"/>
                <w:sz w:val="28"/>
                <w:szCs w:val="28"/>
                <w:lang w:val="en-US"/>
              </w:rPr>
              <w:t>IVR</w:t>
            </w:r>
            <w:r>
              <w:rPr>
                <w:color w:val="000000"/>
                <w:sz w:val="28"/>
                <w:szCs w:val="28"/>
              </w:rPr>
              <w:t>) – единое окно оператора контакт-центра.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дальнейшей автоматизации (не в рамках данного технического задания) в единую интеграционную платформы должны быть заложены архитектурные решения позволяющие провести интеграцию следующих информационных систем: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1С:Управление торговлей – система учета по дополнительным видам деятельности.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1С:Документооборот – система документооборота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1С:Бухгалтерия (КОРП) – система бухгалтерского и налогового учета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Интернет-магазин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Единый Контакт-центр (телефония, автодозвон)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Карта температур ЕООКЦ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Робот-коллектор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Электронная очередь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FaceID – система идентификации потребителей 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CRM</w:t>
            </w:r>
            <w:r>
              <w:rPr>
                <w:color w:val="000000"/>
                <w:sz w:val="28"/>
                <w:szCs w:val="28"/>
              </w:rPr>
              <w:t xml:space="preserve"> – системы управления взаимоотношениями с клиентами на омниканальной платформе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ИСУ – интеллектуальная система учета электроэнергии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Биллинговые системы, реализуемые Заказчиком и/или используемые его Контрагентами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 следующих внешних информационных систем: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Внешние платежные системы банков, в т.ч. интернет-эквайринг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Внешние сервисы онлайн касс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ГИС ЖКХ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Росреестр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ФИАС</w:t>
            </w:r>
          </w:p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ind w:left="164" w:hanging="0"/>
              <w:contextualSpacing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  <w:tbl>
            <w:tblPr>
              <w:tblStyle w:val="11"/>
              <w:tblW w:w="9478" w:type="dxa"/>
              <w:jc w:val="center"/>
              <w:tblInd w:w="0" w:type="dxa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firstRow="1" w:noVBand="1" w:lastRow="0" w:firstColumn="1" w:lastColumn="0" w:noHBand="0" w:val="04a0"/>
            </w:tblPr>
            <w:tblGrid>
              <w:gridCol w:w="569"/>
              <w:gridCol w:w="3741"/>
              <w:gridCol w:w="3043"/>
              <w:gridCol w:w="2124"/>
            </w:tblGrid>
            <w:tr>
              <w:trPr>
                <w:tblHeader w:val="true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9D9D9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 w:val="false"/>
                      <w:iCs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 xml:space="preserve">№ </w:t>
                  </w:r>
                  <w:r>
                    <w:rPr>
                      <w:b/>
                      <w:i w:val="false"/>
                      <w:iCs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п/п</w:t>
                  </w:r>
                </w:p>
              </w:tc>
              <w:tc>
                <w:tcPr>
                  <w:tcW w:w="3741" w:type="dxa"/>
                  <w:tcBorders/>
                  <w:shd w:color="auto" w:fill="D9D9D9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i w:val="false"/>
                      <w:iCs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000000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Продукт</w:t>
                  </w:r>
                </w:p>
              </w:tc>
              <w:tc>
                <w:tcPr>
                  <w:tcW w:w="3043" w:type="dxa"/>
                  <w:tcBorders/>
                  <w:shd w:color="auto" w:fill="D9D9D9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b/>
                      <w:i w:val="false"/>
                      <w:iCs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Технологическая среда</w:t>
                  </w:r>
                </w:p>
              </w:tc>
              <w:tc>
                <w:tcPr>
                  <w:tcW w:w="2124" w:type="dxa"/>
                  <w:tcBorders/>
                  <w:shd w:color="auto" w:fill="D9D9D9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b/>
                      <w:i w:val="false"/>
                      <w:iCs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Количество экземпляров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1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Программный комплекс «Стек-Энерго» (ПК СТЕК) - биллинг юридических и физических лиц 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С++, JAVA, MSSQL, СТЕК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ФЛ 4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ЮЛ 4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2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Программный комплекс «Единое окно оператора КЦ»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PHP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, JS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, MySQL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3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1С: Управление торговлей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1С: Предприятие 8, MSSQL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1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(с учетом репликации механизмами 1С)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4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Мобильное приложение 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 xml:space="preserve">IOS: Swift 4.2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Android: Kotlin.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API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ПК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СТЕК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 xml:space="preserve">: PHP.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PUSH: OneSignal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MySQL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2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(в версиях для ОС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iOS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 и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Android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)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0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5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Интернет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 xml:space="preserve">- 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магазин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1С-Битрикс: Управление сайтом 18, MSSQL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6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Личный кабинет физических лиц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1С-Битрикс: Управление сайтом 18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С++,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JAVA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MSSQL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PHP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JS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HTML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7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Личный кабинет юридических лиц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С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++, JAVA, MSSQL, PHP, JS, HTML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8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Электронный документооборот (ЭДО)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СБИС (Тензор)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9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1С: Документооборот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1С: Предприятие 8, MSSQL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(с учетом репликации механизмами 1С)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10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1С:Бухгалтерия (КОРП)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1С: Предприятие 8, MSSQL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1 </w:t>
                    <w:br/>
                    <w:t>(с учетом репликации механизмами 1С)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11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ЕООКЦ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PHP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JS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HTML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MySQL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</w:t>
                  </w:r>
                </w:p>
              </w:tc>
            </w:tr>
            <w:tr>
              <w:trPr/>
              <w:tc>
                <w:tcPr>
                  <w:tcW w:w="5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uppressAutoHyphens w:val="true"/>
                    <w:spacing w:lineRule="auto" w:line="240" w:before="0" w:after="0"/>
                    <w:ind w:left="-47" w:right="0" w:hanging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vanish w:val="false"/>
                      <w:color w:val="auto"/>
                      <w:spacing w:val="0"/>
                      <w:w w:val="100"/>
                      <w:position w:val="0"/>
                      <w:sz w:val="28"/>
                      <w:sz w:val="28"/>
                      <w:szCs w:val="28"/>
                      <w:u w:val="none"/>
                      <w:vertAlign w:val="baseline"/>
                      <w:lang w:bidi="ar-SA"/>
                    </w:rPr>
                    <w:t>12</w:t>
                  </w:r>
                </w:p>
              </w:tc>
              <w:tc>
                <w:tcPr>
                  <w:tcW w:w="374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Карта температур ЕООКЦ</w:t>
                  </w:r>
                </w:p>
              </w:tc>
              <w:tc>
                <w:tcPr>
                  <w:tcW w:w="3043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JS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HTML</w:t>
                  </w: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 xml:space="preserve">, </w:t>
                  </w:r>
                  <w:r>
                    <w:rPr>
                      <w:color w:val="000000"/>
                      <w:sz w:val="28"/>
                      <w:szCs w:val="28"/>
                      <w:lang w:val="en-US" w:bidi="ar-SA"/>
                    </w:rPr>
                    <w:t>MySQL</w:t>
                  </w:r>
                </w:p>
              </w:tc>
              <w:tc>
                <w:tcPr>
                  <w:tcW w:w="212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  <w:lang w:bidi="ar-SA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447" w:hang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Целевая концептуальная схема единой интеграционной платформы представлена в Приложении №1 данного технического задания.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5. ТРЕБОВАНИЯ К СОСТАВУ ТЕХНИЧЕСКОГО ПРЕДЛОЖЕНИЯ УЧАСТНИКА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452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техническом предложении Участника должно быть подтверждено выполнение всех требований технического задания и приложения к нему.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452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Закупка осуществляется в соответствии с подпунктом б) пункта 4 Положения об особенностях участия субъектов малого и среднего предпринимательства в закупках товаров, работ, услуг отдельными видами юридических лиц, годовом объеме таких закупок и порядке расчета указанного объема, утвержденного Постановлением Правительства РФ от 11 декабря 2014 г. № 1352 «Об особенностях участия субъектов малого и среднего предпринимательства в закупках товаров, работ, услуг отдельными видами юридических лиц». Принять участие в закупке могут только субъекты малого и среднего предпринимательства, определенные статьей 4 Федерального закона от 24 июля 2007 года № 209-ФЗ «О развитии малого и среднего предпринимательства в Российской Федерации».</w:t>
            </w:r>
          </w:p>
        </w:tc>
      </w:tr>
    </w:tbl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РАЗДЕЛ 6. ТРЕБОВАНИЯ И УСЛОВИЯ К РАЗРАБОТКЕ </w:t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ПРИРОДООХРАННЫХ МЕР И МЕРОПРИЯТИЙ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0" w:leader="none"/>
                <w:tab w:val="left" w:pos="6804" w:leader="none"/>
              </w:tabs>
              <w:suppressAutoHyphens w:val="true"/>
              <w:spacing w:before="0" w:after="0"/>
              <w:ind w:firstLine="709"/>
              <w:contextualSpacing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7. ТРЕБОВАНИЯ К КАЧЕСТВУ ВЫПОЛНЕНИЯ РАБОТ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447"/>
              <w:contextualSpacing/>
              <w:jc w:val="both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Работы должны быть выполнены качественно и в срок, указанный в разделе 8 настоящего Технического задания. Качество выполненных работ оценивается Заказчиком по результатам проведения опытной эксплуатации и приемосдаточных испытаний в соответствии с настоящим Техническим заданием.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447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гарантии, установленный Исполнителем, должен составлять не менее 12 месяцев после подписания акта сдачи-приемки в постоянную эксплуатацию.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447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Гарантии должны распространяться на все детали и узлы системы.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447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 обязан в течение гарантийного периода эксплуатации устранять все неисправности, недоработки, своими силами и за свой счет или компенсировать затраты по выполнению таких работ.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447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452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гарантийного срока Исполнитель обеспечивает исправление обнаруженных программных ошибок, не выявленных в процессе опытной эксплуатации и проведенных приемо-сдаточных испытаний путем обновления версии ЕИП (частично либо полностью) в срок до 7 (семи) рабочих дней с момента получения заявления Заказчика в письменном виде или на адрес электронной поты Исполнителя, либо иным путем заранее оговоренном Заказчиком и Исполнителем. Указанные в данном пункте работы предоставляются Заказчику без дополнительной оплаты.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РАЗДЕЛ 8. ТРЕБОВАНИЕ К СРОКУ (ИНТЕРВАЛУ) ВЫПОЛНЕНИЯ РАБОТ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447"/>
              <w:contextualSpacing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 должны быть выполнены в течение 310 рабочих дней с момента подписания договора.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9. ПОРЯДОК ПРИЕМКИ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Подраздел 9.1 Требования к документации для приемки 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994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32"/>
              <w:gridCol w:w="5526"/>
              <w:gridCol w:w="1985"/>
            </w:tblGrid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Перечень работ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Перечень отчетных документов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Срок завершения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Этап 1. Проведение предпроектного обследования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Отчет о предпроектном обследовании содержащий: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Сравнительный анализ существующих интеграционных решений и сервисов направленных на достижение целей, описанных данным техническим заданием;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Материалы о преимуществах и недостатках различных методик создания интеграционных инструментов, направленных на создание единого информационного поля данных технологических систем;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Обоснование программно-технических решений, направленных на создание единой интеграционной платформы;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Заключение о возможности создания Единой информационной платформы содержащее: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 описания необходимых для интеграции протоколов обмена данными и web-сервисов для последующего проектирования подсистемы адаптеров;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 описания данных и алгоритмов их преобразования и передачи в другие системы для последующего проектирования необходимых сервисов;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263" w:leader="none"/>
                    </w:tabs>
                    <w:suppressAutoHyphens w:val="true"/>
                    <w:spacing w:lineRule="auto" w:line="276" w:before="0" w:after="0"/>
                    <w:ind w:left="-20" w:hanging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 описание бизнес-процессов и маршрутов данных, для последующего проектирования механизмов интеграции;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315" w:leader="none"/>
                    </w:tabs>
                    <w:suppressAutoHyphens w:val="true"/>
                    <w:spacing w:lineRule="auto" w:line="276" w:before="0" w:after="0"/>
                    <w:ind w:left="0" w:hanging="0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Заключение о возможности внедрения единой информационной платформы на базе информационных ресурсов АО «АтомЭнергоСбыт» содержащее перечень необходимых мероприятий для осуществления разработки и внедрения решения.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40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Согласование Заказчиком материалов первого этапа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Акт сдачи-приемки выполненных работ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50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Этап 2. Работы по проектированию системы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Пояснительная записка к техническому проекту;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Технического проект;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График и смета выполнения работ по созданию Системы, отвечающей требованиям ТЗ с выделением затрат на создание РИД.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90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Согласование Заказчиком материалов второго этапа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Акт сдачи-приемки выполненных работ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100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Этап 3. Разработка единой интеграционной платформы информационных систем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Еженедельные отчеты о реализации разработки интеграционной платформы в соответствии с утвержденным графиком проведения работ и исходя из требований настоящего технического задания;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Программа и методика испытаний модернизированного сайта;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Модель угроз и нарушителя безопасности;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Журнал проведения предварительных испытаний; 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Протокол проведения предварительных испытаний и готовности к передаче сайта в опытную эксплуатацию;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Архив исходных текстов и мастер развертывания системы.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235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Согласование Заказчиком материалов третьего этапа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Акт сдачи-приемки выполненных работ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240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Этап 4. Инструктаж специалистов 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План-график проведения инструктажа; 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Ведомости проведения инструктажа;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Руководство пользователя;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Руководство администратора (включая инструкцию по развертыванию и настройке);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ind w:firstLine="25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Инструкции и методические материала в формате </w:t>
                  </w:r>
                  <w:r>
                    <w:rPr>
                      <w:sz w:val="28"/>
                      <w:szCs w:val="28"/>
                      <w:lang w:val="en-US"/>
                    </w:rPr>
                    <w:t>pdf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120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Согласование Заказчиком материалов четвертого этапа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Акт сдачи-приемки выполненных работ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125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Этап 5. Опытная эксплуатация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Журнал проведения опытной эксплуатации;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Отчет о проведении опытной эксплуатации;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Протокол проведения опытной эксплуатации;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Описание настроек системы (Документ должен описывать настройки основных данных и настройки функциональности, необходимые для реализации информационного решения Системы);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Функционально-техническая спецификация Системы (Документ должен описывать функциональное назначение и технические параметры разработок Исполнителя. Описание разработок должно включать описание назначения, условия запуска (использования), входные параметры программ, источники данных, а также описание алгоритмов работы и результатов работы программ. Объектами описания в данном документе должны быть: Отчёты, Интерфейсы, Программы, Расширения стандартной функциональности компонентов, Функциональные модули, Объекты полномочий);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Концепции полномочий (Описание ролей и полномочий)).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285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Согласование Заказчиком материалов пятого этапа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Акт сдачи-приемки выполненных работ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290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Этап 6. Приемо-сдаточные испытания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contextualSpacing/>
                    <w:rPr>
                      <w:rFonts w:eastAsia="Calibri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="Calibri"/>
                      <w:sz w:val="28"/>
                      <w:szCs w:val="28"/>
                      <w:lang w:eastAsia="en-US"/>
                    </w:rPr>
                    <w:t>Отчет о проведении приемо-сдаточных испытаний;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contextualSpacing/>
                    <w:rPr>
                      <w:rFonts w:eastAsia="Calibri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="Calibri"/>
                      <w:sz w:val="28"/>
                      <w:szCs w:val="28"/>
                      <w:lang w:eastAsia="en-US"/>
                    </w:rPr>
                    <w:t>Отчет о проведении нагрузочного тестирования;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rFonts w:eastAsia="Calibri"/>
                      <w:sz w:val="28"/>
                      <w:szCs w:val="28"/>
                      <w:lang w:eastAsia="en-US"/>
                    </w:rPr>
                    <w:t>Протокол проведения приемочных испытаний.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305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  <w:tr>
              <w:trPr/>
              <w:tc>
                <w:tcPr>
                  <w:tcW w:w="2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Согласование Заказчиком материалов шестого этапа</w:t>
                  </w:r>
                </w:p>
              </w:tc>
              <w:tc>
                <w:tcPr>
                  <w:tcW w:w="5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Акт сдачи-приемки выполненных работ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76" w:before="0" w:after="0"/>
                    <w:contextualSpacing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По истечению 310 рабочих дней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с даты заключения (подписания) настоящего договора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 9.2 Порядок рассмотрения и приемки результатов работы. Порядок приемки отдельных этапов работ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Выполнение работ осуществляется Исполнителем сразу же после подписания договора в соответствии со сроками, указанными в п.9.1, и с требованиями данного технического задания. Исполнитель по истечению срока выполнения каждого этапа работ представляет факт выполнения работ на электронную почту заказчика.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Заказчик в течение 5 (пяти) рабочих дней рассматривает промежуточный результат работ и согласовывает его путем направления на электронную почту исполнителя, уведомления о согласовании либо в этот же срок направляет на электронную почту исполнителя мотивированный отказ от согласования со сроками устранения замечаний. В любом случае срок устранения замечаний не должен превышать 2 рабочих дней с момента получения исполнителем мотивированного отказа.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Прием работ производится в соответствии с объемом, указанным в настоящем техническом задании. Работы по этапу считаются выполненными, если подписан двухсторонний акт и предоставлен конечный результат работ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601"/>
              <w:contextualSpacing/>
              <w:jc w:val="both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601"/>
              <w:contextualSpacing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Работы по Договору считаются выполненными после окончательной приемки выполненных работ по этапам, представления отчетных материалов в соответствии с п.10.1 настоящего технического задания и подписания обеими Сторонами Акта выполненных работ по договору.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10. ТРЕБОВАНИЯ К ОТЧЕТНОСТИ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1"/>
      </w:tblGrid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 10.1 Отчетные материалы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Техническая и эксплуатационная документация на ЕИП (далее – документы на ЕИП) должна быть разработана в составе, указанном в разделе 9.1, и должна удовлетворять требованиям комплекса стандартов и руководящих документов на автоматизированные системы: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терминологии: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34.003-90 «Автоматизированные системы. Термины и определения»;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наименования и обозначения документов: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34.201-89 «Виды, комплектность и обозначение документов при создании автоматизированных систем»;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19.101-77 - «Единая система программной документации. Виды программ и программных документов»;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19.103-77 - «Единая система программной документации. Обозначение программ и программных документов»;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определения стадий и этапов работ: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34.601-90 «Автоматизированные системы. Стадии создания»;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состава, содержания и правил оформления документов «Техническое задание», «Частное техническое задание»: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 34.602-89;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определения видов испытаний: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 34.603-92 «Информационная технология. Виды испытаний автоматизированных систем»;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структуры и содержания документов: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РД 50-34.698-90 - «Информационная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В части документации пользователей на ЕИП: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19.105-77 - «Единая система программной документации. Общие требования к программным документам»;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19.004-80 - «Единая система программной документации. Термины и определения»;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19.104-77 - «Единая система программной документации. Основные надписи»;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19.503-79 - «Единая система программной документации. Руководство системного программиста. Требования к содержанию и оформлению»;</w:t>
            </w:r>
          </w:p>
          <w:p>
            <w:pPr>
              <w:pStyle w:val="Normal"/>
              <w:widowControl w:val="false"/>
              <w:ind w:left="426" w:firstLine="851"/>
              <w:jc w:val="both"/>
              <w:rPr>
                <w:rFonts w:eastAsia="Arial Unicode MS"/>
                <w:sz w:val="28"/>
                <w:szCs w:val="28"/>
                <w:lang w:bidi="hi-IN"/>
              </w:rPr>
            </w:pPr>
            <w:r>
              <w:rPr>
                <w:rFonts w:eastAsia="Arial Unicode MS"/>
                <w:sz w:val="28"/>
                <w:szCs w:val="28"/>
                <w:lang w:bidi="hi-IN"/>
              </w:rPr>
              <w:t>ГОСТ 19.505-79 - «Единая система программной документации. Руководство оператора. Требования к содержанию и оформлению».</w:t>
            </w:r>
          </w:p>
          <w:p>
            <w:pPr>
              <w:pStyle w:val="Normal"/>
              <w:widowControl w:val="false"/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Комплект эксплуатационной документации на ЕИП должен содержать сведения, достаточные для эксплуатации ЕИП, в части обеспечения ее установки, настройки, эксплуатации и сопровождения (руководство пользователя, руководство администратора).  </w:t>
            </w:r>
          </w:p>
          <w:p>
            <w:pPr>
              <w:pStyle w:val="Normal"/>
              <w:widowControl w:val="false"/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Формальное полное соответствие документов на ЕИП требованиям РД 50</w:t>
              <w:noBreakHyphen/>
              <w:t>34.698-90 и ГОСТ 19.ХХХ по составу и структуре разделов не требуется. При этом должно быть достигнуто адекватное описание всех видов обеспечения ЕИП, достаточное для подготовки персонала, развертывания, эксплуатации и сопровождения ЕИП по всем позициям, определяемым РД 50-34.698-90 и ГОСТ 19.ХХХ для отдельных документов.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Подраздел 10.2 Формат отчетной документации</w:t>
            </w:r>
          </w:p>
        </w:tc>
      </w:tr>
      <w:tr>
        <w:trPr/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Составляющие комплект отчетной документации документы представляются Исполнителем Заказчику в 2 (двух) экземплярах на бумажных и на машинных носителях. В случае если Исполнитель представил Заказчику Акт сдачи-приемки выполненных работ и составляющие комплект отчетной документации отчетные документы, которые не были согласованы Пользователем, Заказчик имеет право не рассматривать такие документы.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Комплект документации представляется Заказчику Исполнителем в печатном виде, а также в электронном виде на машинных носителях.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Текстовые документы, передаваемые на машинных носителях, должны быть представлены в форматах Microsoft Office и в формате .pdf..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contextualSpacing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Комплект отчетной документации в электронном виде на машинных носителях должен передаваться Исполнителем Заказчику один раз по завершении каждого из этапов работ по Договору. Комплект отчетной документации в электронном виде на машинных носителях должен передаваться вместе с документом «Ведомость машинных носителей информации».</w:t>
            </w:r>
          </w:p>
        </w:tc>
      </w:tr>
    </w:tbl>
    <w:p>
      <w:pPr>
        <w:pStyle w:val="Normal"/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РАЗДЕЛ 11. ПЕРЕЧЕНЬ ПРИНЯТЫХ СОКРАЩЕНИЙ</w:t>
      </w:r>
    </w:p>
    <w:p>
      <w:pPr>
        <w:pStyle w:val="Normal"/>
        <w:numPr>
          <w:ilvl w:val="0"/>
          <w:numId w:val="0"/>
        </w:numPr>
        <w:suppressAutoHyphens w:val="true"/>
        <w:spacing w:before="0" w:after="0"/>
        <w:ind w:firstLine="709"/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3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54"/>
        <w:gridCol w:w="2395"/>
        <w:gridCol w:w="6686"/>
      </w:tblGrid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Расшифровка сокращения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ЕИП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Единая интеграционная платформа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АСУСД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Автоматизированная система учета сбытовой деятельности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ФЛ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Физические лица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ЮЛ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Юридические лица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ЛК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Личный кабинет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ТЗ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Техническое задание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ЕООКЦ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Единое окно оператора контакт центра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РИД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 интеллектуальной деятельности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НСД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Несанкционированный доступ к информации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ОС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Операционная система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СУБД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Система управления базами данных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МП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Мобильное приложение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IVR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Интерактивное голосовое меню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CRM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Системы управления взаимоотношениями с клиентами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ИСУ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Интеллектуальная система учета электроэнергии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left" w:pos="1134" w:leader="none"/>
              </w:tabs>
              <w:suppressAutoHyphens w:val="true"/>
              <w:spacing w:lineRule="auto" w:line="276" w:before="0" w:after="0"/>
              <w:ind w:left="447" w:hanging="0"/>
              <w:contextualSpacing/>
              <w:jc w:val="both"/>
              <w:textAlignment w:val="baseline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ГИС ЖКХ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Государственная информационная система жилищно-коммунального хозяйства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КЦ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Контакт центр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ЭДО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Электронный документооборот</w:t>
            </w:r>
          </w:p>
        </w:tc>
      </w:tr>
      <w:tr>
        <w:trPr>
          <w:trHeight w:val="399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firstLine="709"/>
              <w:contextualSpacing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ИС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4" w:before="0" w:after="0"/>
              <w:ind w:left="340" w:firstLine="1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Информационные система</w:t>
            </w:r>
          </w:p>
        </w:tc>
      </w:tr>
    </w:tbl>
    <w:p>
      <w:pPr>
        <w:pStyle w:val="Normal"/>
        <w:tabs>
          <w:tab w:val="clear" w:pos="720"/>
          <w:tab w:val="left" w:pos="2318" w:leader="none"/>
          <w:tab w:val="center" w:pos="4677" w:leader="none"/>
        </w:tabs>
        <w:suppressAutoHyphens w:val="true"/>
        <w:spacing w:before="0" w:after="0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8" w:leader="none"/>
          <w:tab w:val="center" w:pos="4677" w:leader="none"/>
        </w:tabs>
        <w:suppressAutoHyphens w:val="true"/>
        <w:spacing w:before="0" w:after="0"/>
        <w:ind w:firstLine="709"/>
        <w:contextualSpacing/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>РАЗДЕЛ 12. ПЕРЕЧЕНЬ ПРИЛОЖЕНИЙ</w:t>
      </w:r>
    </w:p>
    <w:tbl>
      <w:tblPr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9"/>
        <w:gridCol w:w="6360"/>
        <w:gridCol w:w="2126"/>
      </w:tblGrid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приложения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приложения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страниц</w:t>
            </w:r>
          </w:p>
        </w:tc>
      </w:tr>
      <w:tr>
        <w:trPr/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3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Целевая концептуальная схема единой интеграционной платформы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uppressAutoHyphens w:val="true"/>
        <w:spacing w:before="0" w:after="0"/>
        <w:contextualSpacing/>
        <w:jc w:val="right"/>
        <w:rPr>
          <w:color w:val="000000"/>
          <w:sz w:val="28"/>
          <w:szCs w:val="28"/>
        </w:rPr>
      </w:pPr>
      <w:r>
        <w:rPr>
          <w:b/>
          <w:caps/>
          <w:sz w:val="28"/>
        </w:rPr>
        <w:t xml:space="preserve">Приложение № 1 Целевая концептуальная </w:t>
        <w:br/>
        <w:t>схема единой интеграционной платформы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88.1pt;height:287.25pt;mso-wrap-distance-right:0pt" filled="f" o:ole="">
            <v:imagedata r:id="rId3" o:title=""/>
          </v:shape>
          <o:OLEObject Type="Embed" ProgID="Visio.Drawing.15" ShapeID="ole_rId2" DrawAspect="Content" ObjectID="_1475344119" r:id="rId2"/>
        </w:objec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567" w:gutter="0" w:header="0" w:top="1134" w:footer="284" w:bottom="993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5441984"/>
    </w:sdtPr>
    <w:sdtContent>
      <w:p>
        <w:pPr>
          <w:pStyle w:val="Style21"/>
          <w:jc w:val="center"/>
          <w:rPr>
            <w:rFonts w:ascii="Times New Roman" w:hAnsi="Times New Roman" w:cs="Times New Roman"/>
            <w:sz w:val="24"/>
          </w:rPr>
        </w:pPr>
        <w:r>
          <w:rPr>
            <w:rFonts w:cs="Times New Roman" w:ascii="Times New Roman" w:hAnsi="Times New Roman"/>
            <w:sz w:val="24"/>
          </w:rPr>
          <w:fldChar w:fldCharType="begin"/>
        </w:r>
        <w:r>
          <w:rPr>
            <w:sz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rFonts w:cs="Times New Roman" w:ascii="Times New Roman" w:hAnsi="Times New Roman"/>
          </w:rPr>
          <w:fldChar w:fldCharType="separate"/>
        </w:r>
        <w:r>
          <w:rPr>
            <w:sz w:val="24"/>
            <w:rFonts w:cs="Times New Roman" w:ascii="Times New Roman" w:hAnsi="Times New Roman"/>
          </w:rPr>
          <w:t>19</w:t>
        </w:r>
        <w:r>
          <w:rPr>
            <w:sz w:val="24"/>
            <w:rFonts w:cs="Times New Roman" w:ascii="Times New Roman" w:hAnsi="Times New Roman"/>
          </w:rPr>
          <w:fldChar w:fldCharType="end"/>
        </w:r>
      </w:p>
      <w:p>
        <w:pPr>
          <w:pStyle w:val="Style21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996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996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996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lvl w:ilvl="0">
      <w:start w:val="1996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∙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∙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∙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a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2b61a1"/>
    <w:rPr>
      <w:rFonts w:ascii="Courier New" w:hAnsi="Courier New" w:eastAsia="Times New Roman" w:cs="Courier New"/>
      <w:kern w:val="0"/>
      <w:sz w:val="20"/>
      <w:szCs w:val="20"/>
      <w:lang w:val="ru-RU" w:eastAsia="ru-RU"/>
      <w14:ligatures w14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4"/>
    <w:uiPriority w:val="99"/>
    <w:rsid w:val="002b61a1"/>
    <w:pPr>
      <w:tabs>
        <w:tab w:val="clear" w:pos="720"/>
        <w:tab w:val="center" w:pos="4153" w:leader="none"/>
        <w:tab w:val="right" w:pos="830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basedOn w:val="1"/>
    <w:uiPriority w:val="39"/>
    <w:rsid w:val="002b61a1"/>
    <w:pPr>
      <w:jc w:val="center"/>
    </w:pPr>
    <w:rPr>
      <w:lang w:val="ru-RU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ind w:right="0" w:rightChars="0"/>
        <w:spacing w:beforeLines="0" w:afterLines="0" w:line="240" w:lineRule="auto"/>
        <w:jc w:val="center"/>
      </w:pPr>
      <w:rPr>
        <w:b/>
        <w:i w:val="0"/>
        <w:caps w:val="0"/>
        <w:smallCaps w:val="0"/>
        <w:color w:val="auto"/>
        <w:spacing w:val="0"/>
        <w:sz w:val="24"/>
      </w:rPr>
      <w:tblPr/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</w:tcPr>
    </w:tblStylePr>
    <w:tblStylePr w:type="lastRow">
      <w:pPr>
        <w:wordWrap/>
        <w:ind w:right="0" w:rightChars="0"/>
        <w:spacing w:beforeLines="0" w:afterLines="0" w:line="240" w:lineRule="auto"/>
        <w:jc w:val="center"/>
      </w:pPr>
      <w:rPr>
        <w:b w:val="0"/>
        <w:i w:val="0"/>
        <w:caps w:val="0"/>
        <w:smallCaps w:val="0"/>
        <w:color w:val="auto"/>
        <w:spacing w:val="0"/>
        <w:sz w:val="24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auto"/>
      </w:tcPr>
    </w:tblStylePr>
    <w:tblStylePr w:type="firstCol">
      <w:pPr>
        <w:wordWrap/>
        <w:ind w:right="0" w:rightChars="0"/>
        <w:spacing w:beforeLines="0" w:afterLines="0" w:line="240" w:lineRule="auto"/>
        <w:jc w:val="center"/>
      </w:pPr>
      <w:rPr>
        <w:b w:val="0"/>
        <w:i w:val="0"/>
        <w:caps w:val="0"/>
        <w:smallCaps w:val="0"/>
        <w:color w:val="auto"/>
        <w:spacing w:val="0"/>
        <w:sz w:val="24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auto"/>
      </w:tcPr>
    </w:tblStylePr>
    <w:tblStylePr w:type="lastCol">
      <w:pPr>
        <w:wordWrap/>
        <w:ind w:right="0" w:rightChars="0"/>
        <w:spacing w:beforeLines="0" w:afterLines="0" w:line="240" w:lineRule="auto"/>
        <w:jc w:val="center"/>
      </w:pPr>
      <w:rPr>
        <w:b w:val="0"/>
        <w:i w:val="0"/>
        <w:caps w:val="0"/>
        <w:smallCaps w:val="0"/>
        <w:color w:val="auto"/>
        <w:spacing w:val="0"/>
        <w:sz w:val="24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auto"/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">
    <w:name w:val="Table Classic 1"/>
    <w:basedOn w:val="a1"/>
    <w:uiPriority w:val="99"/>
    <w:semiHidden/>
    <w:unhideWhenUsed/>
    <w:rsid w:val="002b61a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5">
    <w:name w:val="Table Grid"/>
    <w:basedOn w:val="a1"/>
    <w:uiPriority w:val="39"/>
    <w:rsid w:val="002b61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25</Pages>
  <Words>4785</Words>
  <Characters>35446</Characters>
  <CharactersWithSpaces>39692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2024-08-09T09:01:00Z</dcterms:created>
  <dc:creator>Roman Dutka</dc:creator>
  <dc:description/>
  <dc:language>ru-RU</dc:language>
  <cp:lastModifiedBy/>
  <dcterms:modified xsi:type="dcterms:W3CDTF">2024-08-09T13:32:42Z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