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126A" w14:textId="77777777" w:rsidR="000F6183" w:rsidRDefault="000F6183" w:rsidP="000F6183">
      <w:r>
        <w:t>Kosta Sarinopoulos</w:t>
      </w:r>
    </w:p>
    <w:p w14:paraId="5F164778" w14:textId="77777777" w:rsidR="000F6183" w:rsidRDefault="000F6183" w:rsidP="000F6183">
      <w:r>
        <w:t>EC 499</w:t>
      </w:r>
    </w:p>
    <w:p w14:paraId="74C0B410" w14:textId="5DE83E02" w:rsidR="000F6183" w:rsidRDefault="000F6183" w:rsidP="000F6183">
      <w:r>
        <w:t>1</w:t>
      </w:r>
      <w:r w:rsidR="00FA4759">
        <w:t>2</w:t>
      </w:r>
      <w:r>
        <w:t>/</w:t>
      </w:r>
      <w:r w:rsidR="00FA4759">
        <w:t>13</w:t>
      </w:r>
      <w:r>
        <w:t>/2022</w:t>
      </w:r>
    </w:p>
    <w:p w14:paraId="7165D661" w14:textId="157C6C27" w:rsidR="000F6183" w:rsidRPr="003B2F3D" w:rsidRDefault="002A307D" w:rsidP="003B2F3D">
      <w:pPr>
        <w:jc w:val="center"/>
        <w:rPr>
          <w:sz w:val="32"/>
          <w:szCs w:val="32"/>
        </w:rPr>
      </w:pPr>
      <w:r w:rsidRPr="003B2F3D">
        <w:rPr>
          <w:sz w:val="32"/>
          <w:szCs w:val="32"/>
        </w:rPr>
        <w:t xml:space="preserve">How </w:t>
      </w:r>
      <w:r w:rsidR="005B1595">
        <w:rPr>
          <w:sz w:val="32"/>
          <w:szCs w:val="32"/>
        </w:rPr>
        <w:t>COVID</w:t>
      </w:r>
      <w:r w:rsidRPr="003B2F3D">
        <w:rPr>
          <w:sz w:val="32"/>
          <w:szCs w:val="32"/>
        </w:rPr>
        <w:t>-19 stay-at-home policies has changed electricity consumption behavior?</w:t>
      </w:r>
    </w:p>
    <w:p w14:paraId="6ADE2AE4" w14:textId="2B21A3F1" w:rsidR="000F6183" w:rsidRPr="00351168" w:rsidRDefault="002F46A6" w:rsidP="000F6183">
      <w:pPr>
        <w:rPr>
          <w:sz w:val="36"/>
          <w:szCs w:val="36"/>
        </w:rPr>
      </w:pPr>
      <w:r>
        <w:rPr>
          <w:sz w:val="36"/>
          <w:szCs w:val="36"/>
        </w:rPr>
        <w:t>Introduction</w:t>
      </w:r>
      <w:r w:rsidR="000F6183" w:rsidRPr="00351168">
        <w:rPr>
          <w:sz w:val="36"/>
          <w:szCs w:val="36"/>
        </w:rPr>
        <w:t xml:space="preserve">: </w:t>
      </w:r>
    </w:p>
    <w:p w14:paraId="343E9396" w14:textId="674E5D85" w:rsidR="00D71DF4" w:rsidRDefault="000F6183" w:rsidP="005B1595">
      <w:pPr>
        <w:ind w:firstLine="720"/>
      </w:pPr>
      <w:r>
        <w:t xml:space="preserve">The purpose for this study is to see how </w:t>
      </w:r>
      <w:r w:rsidR="005B1595">
        <w:t>COVID</w:t>
      </w:r>
      <w:r>
        <w:t>-19 has changed electricity consumption behavior by sector (residential, commercial, industrial</w:t>
      </w:r>
      <w:r w:rsidR="00FE6E2C">
        <w:t>, and transportation</w:t>
      </w:r>
      <w:r>
        <w:t xml:space="preserve">). </w:t>
      </w:r>
      <w:r w:rsidR="005B1595">
        <w:t>Researchers know i</w:t>
      </w:r>
      <w:r>
        <w:t xml:space="preserve">t is important to study the energy markets because energy is needed to perform almost all economic activity </w:t>
      </w:r>
      <w:r w:rsidR="005B1595">
        <w:t>which means</w:t>
      </w:r>
      <w:r>
        <w:t xml:space="preserve"> electricity demand could serve as a real-time proxy for overall economic activity </w:t>
      </w:r>
      <w:r w:rsidRPr="00487C62">
        <w:t>(e.g., Bui and Wolfers, 2020).</w:t>
      </w:r>
      <w:r>
        <w:t xml:space="preserve"> </w:t>
      </w:r>
      <w:r w:rsidR="00E579B0">
        <w:t>A</w:t>
      </w:r>
      <w:r w:rsidR="005B1595">
        <w:t>lso</w:t>
      </w:r>
      <w:r>
        <w:t xml:space="preserve">, </w:t>
      </w:r>
      <w:r w:rsidR="002F46A6">
        <w:t xml:space="preserve">it </w:t>
      </w:r>
      <w:r>
        <w:t>is critical to plan and study</w:t>
      </w:r>
      <w:r w:rsidR="002F46A6">
        <w:t xml:space="preserve"> energy</w:t>
      </w:r>
      <w:r>
        <w:t xml:space="preserve"> consumption because each sector requires different types of infrastructure which is costly. One immediate effect of </w:t>
      </w:r>
      <w:r w:rsidR="005B1595">
        <w:t>COVID</w:t>
      </w:r>
      <w:r>
        <w:t xml:space="preserve">-19 was stay-at-home government policies </w:t>
      </w:r>
      <w:r w:rsidR="005B1595">
        <w:t>which caused</w:t>
      </w:r>
      <w:r>
        <w:t xml:space="preserve"> the amount of people to work from home to triple (Census 2022).</w:t>
      </w:r>
      <w:r w:rsidR="008E55E6">
        <w:t xml:space="preserve"> </w:t>
      </w:r>
      <w:r w:rsidR="005B1595">
        <w:t>All of t</w:t>
      </w:r>
      <w:r w:rsidR="008E55E6">
        <w:t>his begs the question</w:t>
      </w:r>
      <w:r w:rsidR="005B1595">
        <w:t>,</w:t>
      </w:r>
      <w:r w:rsidR="008E55E6">
        <w:t xml:space="preserve"> h</w:t>
      </w:r>
      <w:r w:rsidR="00D71DF4">
        <w:t xml:space="preserve">ow did our </w:t>
      </w:r>
      <w:r w:rsidR="008E55E6">
        <w:t xml:space="preserve">energy </w:t>
      </w:r>
      <w:r w:rsidR="00D71DF4">
        <w:t xml:space="preserve">behavior change as a result of </w:t>
      </w:r>
      <w:r w:rsidR="005B1595">
        <w:t>COVID</w:t>
      </w:r>
      <w:r w:rsidR="00D71DF4">
        <w:t xml:space="preserve">? </w:t>
      </w:r>
      <w:r>
        <w:t>Now that we are in more of “Post-Pandemic” I want to perform a retroactive study on electricity consumption.</w:t>
      </w:r>
      <w:r w:rsidR="00D71DF4">
        <w:t xml:space="preserve"> </w:t>
      </w:r>
      <w:r w:rsidR="005B1595">
        <w:t>More specifically, my academic research sets out to answer the question: H</w:t>
      </w:r>
      <w:r w:rsidR="00D71DF4" w:rsidRPr="00D8206B">
        <w:t xml:space="preserve">ow </w:t>
      </w:r>
      <w:r w:rsidR="005B1595">
        <w:t>COVID</w:t>
      </w:r>
      <w:r w:rsidR="00D71DF4">
        <w:t>-19 stay-at-home policies</w:t>
      </w:r>
      <w:r w:rsidR="00D71DF4" w:rsidRPr="00D8206B">
        <w:t xml:space="preserve"> has</w:t>
      </w:r>
      <w:r w:rsidR="00D71DF4">
        <w:t xml:space="preserve"> c</w:t>
      </w:r>
      <w:r w:rsidR="00D71DF4" w:rsidRPr="00D8206B">
        <w:t xml:space="preserve">hanged </w:t>
      </w:r>
      <w:r w:rsidR="00D71DF4">
        <w:t>e</w:t>
      </w:r>
      <w:r w:rsidR="00D71DF4" w:rsidRPr="00D8206B">
        <w:t xml:space="preserve">lectricity </w:t>
      </w:r>
      <w:r w:rsidR="00D71DF4">
        <w:t>c</w:t>
      </w:r>
      <w:r w:rsidR="00D71DF4" w:rsidRPr="00D8206B">
        <w:t xml:space="preserve">onsumption </w:t>
      </w:r>
      <w:r w:rsidR="00D71DF4">
        <w:t>b</w:t>
      </w:r>
      <w:r w:rsidR="00D71DF4" w:rsidRPr="00D8206B">
        <w:t>ehavio</w:t>
      </w:r>
      <w:r w:rsidR="00D71DF4">
        <w:t xml:space="preserve">r? </w:t>
      </w:r>
    </w:p>
    <w:p w14:paraId="3510FE75" w14:textId="77777777" w:rsidR="0050038F" w:rsidRDefault="00E579B0" w:rsidP="0050038F">
      <w:pPr>
        <w:ind w:firstLine="720"/>
      </w:pPr>
      <w:r>
        <w:t>I</w:t>
      </w:r>
      <w:r w:rsidR="005B1595">
        <w:t>n my research, I</w:t>
      </w:r>
      <w:r>
        <w:t xml:space="preserve"> will be using a total of </w:t>
      </w:r>
      <w:r w:rsidR="008E55E6">
        <w:t>three</w:t>
      </w:r>
      <w:r>
        <w:t xml:space="preserve"> state</w:t>
      </w:r>
      <w:r w:rsidR="004C5A96">
        <w:t>-</w:t>
      </w:r>
      <w:r w:rsidR="002E38DA">
        <w:t>month</w:t>
      </w:r>
      <w:r>
        <w:t xml:space="preserve"> panel datasets</w:t>
      </w:r>
      <w:r w:rsidR="002E38DA">
        <w:t xml:space="preserve"> and </w:t>
      </w:r>
      <w:r w:rsidR="008E55E6">
        <w:t>one</w:t>
      </w:r>
      <w:r w:rsidR="002E38DA">
        <w:t xml:space="preserve"> state</w:t>
      </w:r>
      <w:r w:rsidR="004C5A96">
        <w:t>-</w:t>
      </w:r>
      <w:r w:rsidR="002E38DA">
        <w:t>quarter panel dataset</w:t>
      </w:r>
      <w:r>
        <w:t xml:space="preserve"> to answer the question above</w:t>
      </w:r>
      <w:r w:rsidR="004C5A96">
        <w:t>. The datasets</w:t>
      </w:r>
      <w:r>
        <w:t xml:space="preserve"> includ</w:t>
      </w:r>
      <w:r w:rsidR="004C5A96">
        <w:t>e</w:t>
      </w:r>
      <w:r>
        <w:t xml:space="preserve"> electricity consumption, GDP, </w:t>
      </w:r>
      <w:r w:rsidR="00EF088E">
        <w:t xml:space="preserve">average </w:t>
      </w:r>
      <w:r>
        <w:t xml:space="preserve">temperature, and Oxford Stringency Index data. Oxford Stringency Index </w:t>
      </w:r>
      <w:r w:rsidR="004C5D04">
        <w:t>measures the overall strictness of the lockdown</w:t>
      </w:r>
      <w:r w:rsidR="008E55E6">
        <w:t>s</w:t>
      </w:r>
      <w:r w:rsidR="004C5D04">
        <w:t xml:space="preserve"> through </w:t>
      </w:r>
      <w:r w:rsidR="002E38DA">
        <w:t xml:space="preserve">22 </w:t>
      </w:r>
      <w:r w:rsidR="004C5D04">
        <w:t xml:space="preserve">metrics such as school closures, travel restrictions, </w:t>
      </w:r>
      <w:r w:rsidR="008E55E6">
        <w:t xml:space="preserve">vaccine policies, </w:t>
      </w:r>
      <w:r w:rsidR="004C5D04">
        <w:t>etc.</w:t>
      </w:r>
      <w:r w:rsidR="0050038F">
        <w:t xml:space="preserve"> </w:t>
      </w:r>
    </w:p>
    <w:p w14:paraId="7BB07ECA" w14:textId="7D1BF849" w:rsidR="0069277C" w:rsidRDefault="00E579B0" w:rsidP="0050038F">
      <w:pPr>
        <w:ind w:firstLine="720"/>
      </w:pPr>
      <w:r>
        <w:t xml:space="preserve">The methodology used </w:t>
      </w:r>
      <w:r w:rsidR="005B1595">
        <w:t xml:space="preserve">throughout my research </w:t>
      </w:r>
      <w:r>
        <w:t>is a</w:t>
      </w:r>
      <w:r w:rsidR="005633CD">
        <w:t xml:space="preserve"> multiple </w:t>
      </w:r>
      <w:r>
        <w:t xml:space="preserve">OLS </w:t>
      </w:r>
      <w:r w:rsidR="008150C1">
        <w:t xml:space="preserve">with time and state </w:t>
      </w:r>
      <w:r w:rsidR="005B1595">
        <w:t xml:space="preserve">as </w:t>
      </w:r>
      <w:r w:rsidR="008150C1">
        <w:t>fixed effects</w:t>
      </w:r>
      <w:r w:rsidR="005633CD">
        <w:t>.</w:t>
      </w:r>
      <w:r w:rsidR="000369AA">
        <w:t xml:space="preserve"> </w:t>
      </w:r>
      <w:r w:rsidR="005B1595">
        <w:t xml:space="preserve">More so, </w:t>
      </w:r>
      <w:r w:rsidR="0088467B">
        <w:t xml:space="preserve">I ran </w:t>
      </w:r>
      <w:r w:rsidR="004463F6">
        <w:t>multiple regressions with each type of sector</w:t>
      </w:r>
      <w:r w:rsidR="008E55E6">
        <w:t>s energy consumption</w:t>
      </w:r>
      <w:r w:rsidR="004463F6">
        <w:t xml:space="preserve"> as the output</w:t>
      </w:r>
      <w:r w:rsidR="00FE6E2C">
        <w:t xml:space="preserve"> variable</w:t>
      </w:r>
      <w:r w:rsidR="004E4F76">
        <w:t xml:space="preserve"> and Stringency Levels as a predictor variable with </w:t>
      </w:r>
      <w:r w:rsidR="00FE6E2C">
        <w:t>temperature</w:t>
      </w:r>
      <w:r w:rsidR="00322EAA">
        <w:t xml:space="preserve"> and GDP as controls. </w:t>
      </w:r>
      <w:r w:rsidR="004E4F76">
        <w:t>I used these</w:t>
      </w:r>
      <w:r w:rsidR="00322EAA">
        <w:t xml:space="preserve"> controls because </w:t>
      </w:r>
      <w:r w:rsidR="002E38DA">
        <w:t>outside temperature indicates how much buildings need to be heated/cooled and GDP is a measure of economic activity.</w:t>
      </w:r>
      <w:r w:rsidR="0050038F">
        <w:t xml:space="preserve"> To clarify</w:t>
      </w:r>
      <w:r w:rsidR="008E55E6">
        <w:t>,</w:t>
      </w:r>
      <w:r w:rsidR="00EF088E">
        <w:t xml:space="preserve"> I used the absolute difference in temperature from </w:t>
      </w:r>
      <w:r w:rsidR="00302DCA">
        <w:t>65-degree</w:t>
      </w:r>
      <w:r w:rsidR="00EF088E">
        <w:t xml:space="preserve"> Fahrenheit as that is when people switch from heating to cooling</w:t>
      </w:r>
      <w:r w:rsidR="00302DCA">
        <w:t xml:space="preserve"> (Brewer 2021).</w:t>
      </w:r>
      <w:r w:rsidR="00EF088E">
        <w:t xml:space="preserve"> </w:t>
      </w:r>
      <w:r w:rsidR="002E38DA">
        <w:t xml:space="preserve">These controls </w:t>
      </w:r>
      <w:r w:rsidR="0050038F">
        <w:t xml:space="preserve">resulted in </w:t>
      </w:r>
      <w:r w:rsidR="008E55E6">
        <w:t xml:space="preserve">statistically </w:t>
      </w:r>
      <w:r w:rsidR="002E38DA">
        <w:t>significant a majority of the time</w:t>
      </w:r>
      <w:r w:rsidR="0050038F">
        <w:t xml:space="preserve"> which</w:t>
      </w:r>
      <w:r w:rsidR="002E38DA">
        <w:t xml:space="preserve"> indicat</w:t>
      </w:r>
      <w:r w:rsidR="0050038F">
        <w:t>es</w:t>
      </w:r>
      <w:r w:rsidR="002E38DA">
        <w:t xml:space="preserve"> the</w:t>
      </w:r>
      <w:r w:rsidR="0050038F">
        <w:t xml:space="preserve"> variables</w:t>
      </w:r>
      <w:r w:rsidR="002E38DA">
        <w:t xml:space="preserve"> are</w:t>
      </w:r>
      <w:r w:rsidR="004C5A96">
        <w:t xml:space="preserve"> strong </w:t>
      </w:r>
      <w:r w:rsidR="002E38DA">
        <w:t xml:space="preserve">controls. </w:t>
      </w:r>
      <w:r w:rsidR="0050038F">
        <w:t xml:space="preserve">To improve </w:t>
      </w:r>
      <w:r w:rsidR="004E4F76">
        <w:t>these regressions, I added layers of fixed effects including yearly, quarterly, and state based.</w:t>
      </w:r>
    </w:p>
    <w:p w14:paraId="198D9382" w14:textId="7E4A8EC2" w:rsidR="00017B56" w:rsidRDefault="008E55E6" w:rsidP="0050038F">
      <w:pPr>
        <w:ind w:firstLine="720"/>
      </w:pPr>
      <w:r>
        <w:t xml:space="preserve">Through simple exploration of the data, </w:t>
      </w:r>
      <w:r w:rsidR="00017B56">
        <w:t xml:space="preserve">I find that there was </w:t>
      </w:r>
      <w:r w:rsidR="000E6CE4">
        <w:t>an</w:t>
      </w:r>
      <w:r w:rsidR="00017B56">
        <w:t xml:space="preserve"> immediate and drastic effect of </w:t>
      </w:r>
      <w:r w:rsidR="005B1595">
        <w:t>COVID</w:t>
      </w:r>
      <w:r w:rsidR="0050038F">
        <w:t>-19</w:t>
      </w:r>
      <w:r w:rsidR="00017B56">
        <w:t xml:space="preserve"> to the energy markets. </w:t>
      </w:r>
      <w:r w:rsidR="0050038F">
        <w:t>In fact, t</w:t>
      </w:r>
      <w:r w:rsidR="00017B56">
        <w:t xml:space="preserve">here was an increase of 2% in residential energy consumption which is a significant 9,000,000 MWh which is enough power for around 4.5 million homes! </w:t>
      </w:r>
      <w:r w:rsidR="0050038F">
        <w:t>Upon further analysis with</w:t>
      </w:r>
      <w:r>
        <w:t xml:space="preserve"> the OLS models, I </w:t>
      </w:r>
      <w:r w:rsidR="00017B56">
        <w:t xml:space="preserve">find that there is a relationship between stringency levels and energy consumption. </w:t>
      </w:r>
      <w:r w:rsidR="000E6CE4">
        <w:t xml:space="preserve">As expected, there is a positive relationship between residential consumption and stringency, and a negative relationship between industrial/commercial consumption and stringency. I did not find these relationships to be </w:t>
      </w:r>
      <w:r>
        <w:t xml:space="preserve">statistically </w:t>
      </w:r>
      <w:r w:rsidR="000E6CE4">
        <w:t xml:space="preserve">significant when there were quarterly and state fixed </w:t>
      </w:r>
      <w:r w:rsidR="000E6CE4">
        <w:lastRenderedPageBreak/>
        <w:t>effects indicating the relationship not to be causal.</w:t>
      </w:r>
      <w:r>
        <w:t xml:space="preserve"> However, w</w:t>
      </w:r>
      <w:r w:rsidR="000E6CE4">
        <w:t xml:space="preserve">hen the regression only includes state fixed effects there is a </w:t>
      </w:r>
      <w:r>
        <w:t xml:space="preserve">statistically </w:t>
      </w:r>
      <w:r w:rsidR="000E6CE4">
        <w:t>significant relationship.</w:t>
      </w:r>
    </w:p>
    <w:p w14:paraId="240378D0" w14:textId="01662744" w:rsidR="00D71DF4" w:rsidRDefault="0050038F" w:rsidP="000E6CE4">
      <w:pPr>
        <w:ind w:firstLine="720"/>
      </w:pPr>
      <w:r>
        <w:t>Currently, t</w:t>
      </w:r>
      <w:r w:rsidR="003076D4">
        <w:t xml:space="preserve">here are several economic papers touching the effect </w:t>
      </w:r>
      <w:r w:rsidR="005B1595">
        <w:t>COVID</w:t>
      </w:r>
      <w:r w:rsidR="003076D4">
        <w:t xml:space="preserve"> had on electricity consumption. I have cited 3 in my </w:t>
      </w:r>
      <w:r w:rsidR="0069277C">
        <w:t xml:space="preserve">bibliography that use various approached including </w:t>
      </w:r>
      <w:proofErr w:type="spellStart"/>
      <w:r w:rsidR="0069277C">
        <w:t>DiD</w:t>
      </w:r>
      <w:proofErr w:type="spellEnd"/>
      <w:r w:rsidR="0069277C">
        <w:t>, matching algorithms and cluster analysis. What my paper contributes to the overall literature on this topic is it a</w:t>
      </w:r>
      <w:r w:rsidR="00FA6FE9" w:rsidRPr="00FA6FE9">
        <w:t>dd</w:t>
      </w:r>
      <w:r w:rsidR="0069277C">
        <w:t>s</w:t>
      </w:r>
      <w:r w:rsidR="00FA6FE9" w:rsidRPr="00FA6FE9">
        <w:t xml:space="preserve"> more time to retroactive </w:t>
      </w:r>
      <w:r w:rsidR="004128C2" w:rsidRPr="00FA6FE9">
        <w:t>study,</w:t>
      </w:r>
      <w:r w:rsidR="0069277C">
        <w:t xml:space="preserve"> and I </w:t>
      </w:r>
      <w:r w:rsidR="00FA6FE9" w:rsidRPr="00FA6FE9">
        <w:t>specifically look at stringency levels</w:t>
      </w:r>
      <w:r w:rsidR="0069277C">
        <w:t xml:space="preserve"> and </w:t>
      </w:r>
      <w:r w:rsidR="00EF088E">
        <w:t>its</w:t>
      </w:r>
      <w:r w:rsidR="0069277C">
        <w:t xml:space="preserve"> effect on energy consumptions</w:t>
      </w:r>
    </w:p>
    <w:p w14:paraId="19C58035" w14:textId="77777777" w:rsidR="000F6183" w:rsidRDefault="000F6183" w:rsidP="000F6183"/>
    <w:p w14:paraId="48D4349D" w14:textId="76EED3A4" w:rsidR="000F6183" w:rsidRPr="00351168" w:rsidRDefault="000F6183" w:rsidP="000F6183">
      <w:pPr>
        <w:rPr>
          <w:sz w:val="36"/>
          <w:szCs w:val="36"/>
        </w:rPr>
      </w:pPr>
      <w:r w:rsidRPr="00351168">
        <w:rPr>
          <w:sz w:val="36"/>
          <w:szCs w:val="36"/>
        </w:rPr>
        <w:t>Data</w:t>
      </w:r>
      <w:r w:rsidR="00E579B0">
        <w:rPr>
          <w:sz w:val="36"/>
          <w:szCs w:val="36"/>
        </w:rPr>
        <w:t xml:space="preserve"> Description</w:t>
      </w:r>
      <w:r w:rsidR="002A307D">
        <w:rPr>
          <w:sz w:val="36"/>
          <w:szCs w:val="36"/>
        </w:rPr>
        <w:t>/Summary Stats</w:t>
      </w:r>
      <w:r w:rsidRPr="00351168">
        <w:rPr>
          <w:sz w:val="36"/>
          <w:szCs w:val="36"/>
        </w:rPr>
        <w:t>:</w:t>
      </w:r>
    </w:p>
    <w:p w14:paraId="0FF35031" w14:textId="77777777" w:rsidR="000F6183" w:rsidRDefault="000F6183" w:rsidP="000F6183"/>
    <w:p w14:paraId="04582386" w14:textId="77777777" w:rsidR="000F6183" w:rsidRDefault="000F6183" w:rsidP="000F6183">
      <w:pPr>
        <w:numPr>
          <w:ilvl w:val="0"/>
          <w:numId w:val="1"/>
        </w:numPr>
      </w:pPr>
      <w:r>
        <w:t xml:space="preserve">State-Month </w:t>
      </w:r>
      <w:r w:rsidRPr="0081532B">
        <w:t>panel data</w:t>
      </w:r>
      <w:r>
        <w:t>set</w:t>
      </w:r>
      <w:r w:rsidRPr="0081532B">
        <w:t xml:space="preserve"> of electric consumption </w:t>
      </w:r>
      <w:r>
        <w:t>segmented by sector (Residential, Commercial, Industrial, Transportation)</w:t>
      </w:r>
    </w:p>
    <w:p w14:paraId="4457763D" w14:textId="77777777" w:rsidR="000F6183" w:rsidRDefault="000F6183" w:rsidP="000F6183">
      <w:pPr>
        <w:numPr>
          <w:ilvl w:val="1"/>
          <w:numId w:val="1"/>
        </w:numPr>
      </w:pPr>
      <w:r w:rsidRPr="0081532B">
        <w:t>Source: US Energy Information Administration</w:t>
      </w:r>
    </w:p>
    <w:p w14:paraId="6A5FE297" w14:textId="3EDEBDF1" w:rsidR="000F6183" w:rsidRDefault="000F6183" w:rsidP="000F6183">
      <w:pPr>
        <w:numPr>
          <w:ilvl w:val="0"/>
          <w:numId w:val="1"/>
        </w:numPr>
      </w:pPr>
      <w:r>
        <w:t xml:space="preserve">State-Quarter </w:t>
      </w:r>
      <w:r w:rsidRPr="0081532B">
        <w:t>panel data</w:t>
      </w:r>
      <w:r>
        <w:t>set</w:t>
      </w:r>
      <w:r w:rsidRPr="0081532B">
        <w:t xml:space="preserve"> of </w:t>
      </w:r>
      <w:r>
        <w:t xml:space="preserve">GDP </w:t>
      </w:r>
    </w:p>
    <w:p w14:paraId="7B84B24A" w14:textId="77777777" w:rsidR="000F6183" w:rsidRDefault="000F6183" w:rsidP="000F6183">
      <w:pPr>
        <w:numPr>
          <w:ilvl w:val="1"/>
          <w:numId w:val="1"/>
        </w:numPr>
      </w:pPr>
      <w:r>
        <w:t>Source: St. Louis FRED</w:t>
      </w:r>
    </w:p>
    <w:p w14:paraId="2CB8AF41" w14:textId="77777777" w:rsidR="000F6183" w:rsidRDefault="000F6183" w:rsidP="000F6183">
      <w:pPr>
        <w:numPr>
          <w:ilvl w:val="0"/>
          <w:numId w:val="1"/>
        </w:numPr>
      </w:pPr>
      <w:r>
        <w:t>State-Month panel dataset Oxford Stringency Index (Measurement of Strict Lock-down levels where)</w:t>
      </w:r>
    </w:p>
    <w:p w14:paraId="44281985" w14:textId="77777777" w:rsidR="000F6183" w:rsidRDefault="000F6183" w:rsidP="000F6183">
      <w:pPr>
        <w:numPr>
          <w:ilvl w:val="1"/>
          <w:numId w:val="1"/>
        </w:numPr>
      </w:pPr>
      <w:r>
        <w:t>Source: Our World in Data and University of Oxford</w:t>
      </w:r>
    </w:p>
    <w:p w14:paraId="5167D30A" w14:textId="77777777" w:rsidR="000F6183" w:rsidRDefault="000F6183" w:rsidP="000F6183">
      <w:pPr>
        <w:numPr>
          <w:ilvl w:val="0"/>
          <w:numId w:val="1"/>
        </w:numPr>
      </w:pPr>
      <w:r>
        <w:t>State-Month panel dataset of monthly average temperature</w:t>
      </w:r>
    </w:p>
    <w:p w14:paraId="17180AAA" w14:textId="77777777" w:rsidR="000F6183" w:rsidRPr="005D4F6F" w:rsidRDefault="000F6183" w:rsidP="000F6183">
      <w:pPr>
        <w:numPr>
          <w:ilvl w:val="1"/>
          <w:numId w:val="1"/>
        </w:numPr>
      </w:pPr>
      <w:r>
        <w:t xml:space="preserve">Source: </w:t>
      </w:r>
      <w:r w:rsidRPr="005D4F6F">
        <w:t>National Center for Environmental Information</w:t>
      </w:r>
    </w:p>
    <w:p w14:paraId="105DE20B" w14:textId="77777777" w:rsidR="000F6183" w:rsidRPr="0081532B" w:rsidRDefault="000F6183" w:rsidP="000F6183">
      <w:pPr>
        <w:ind w:left="1080"/>
      </w:pPr>
    </w:p>
    <w:p w14:paraId="61F96D21" w14:textId="64BECB43" w:rsidR="002A307D" w:rsidRDefault="002A307D" w:rsidP="00EF088E">
      <w:r w:rsidRPr="002A307D">
        <w:rPr>
          <w:noProof/>
        </w:rPr>
        <w:drawing>
          <wp:inline distT="0" distB="0" distL="0" distR="0" wp14:anchorId="3DFFA537" wp14:editId="455D282C">
            <wp:extent cx="5943600" cy="1256030"/>
            <wp:effectExtent l="0" t="0" r="0" b="1270"/>
            <wp:docPr id="2" name="Picture 8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16D875-C4B6-B47F-0A97-A27F338043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4016D875-C4B6-B47F-0A97-A27F338043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3017" w14:textId="77777777" w:rsidR="0050038F" w:rsidRDefault="002A307D" w:rsidP="004A7DC6">
      <w:r>
        <w:t>Above is a summary statistics table of the</w:t>
      </w:r>
      <w:r w:rsidR="004F5111">
        <w:t xml:space="preserve"> aggregate dataset</w:t>
      </w:r>
      <w:r w:rsidR="005002DE">
        <w:t xml:space="preserve">. There are a total of 1920 observations </w:t>
      </w:r>
      <w:r w:rsidR="00375BB4">
        <w:t xml:space="preserve">(10 quarters*48 states * 4 sectors). </w:t>
      </w:r>
      <w:r w:rsidR="0078194F">
        <w:t>GDP i</w:t>
      </w:r>
      <w:r w:rsidR="0050038F">
        <w:t>s i</w:t>
      </w:r>
      <w:r w:rsidR="0078194F">
        <w:t xml:space="preserve">n millions of dollars, </w:t>
      </w:r>
      <w:r w:rsidR="004A7DC6" w:rsidRPr="004A7DC6">
        <w:t>Revenue</w:t>
      </w:r>
      <w:r w:rsidR="004A7DC6">
        <w:t xml:space="preserve"> is in t</w:t>
      </w:r>
      <w:r w:rsidR="004A7DC6" w:rsidRPr="004A7DC6">
        <w:t xml:space="preserve">housands of </w:t>
      </w:r>
      <w:r w:rsidR="004A7DC6">
        <w:t>d</w:t>
      </w:r>
      <w:r w:rsidR="004A7DC6" w:rsidRPr="004A7DC6">
        <w:t>ollars</w:t>
      </w:r>
      <w:r w:rsidR="004A7DC6">
        <w:t xml:space="preserve">, </w:t>
      </w:r>
      <w:r w:rsidR="004A7DC6" w:rsidRPr="004A7DC6">
        <w:t xml:space="preserve">Sales </w:t>
      </w:r>
      <w:r w:rsidR="004A7DC6">
        <w:t>i</w:t>
      </w:r>
      <w:r w:rsidR="0050038F">
        <w:t>s i</w:t>
      </w:r>
      <w:r w:rsidR="004A7DC6">
        <w:t xml:space="preserve">n </w:t>
      </w:r>
      <w:r w:rsidR="004A7DC6" w:rsidRPr="004A7DC6">
        <w:t>MWh</w:t>
      </w:r>
      <w:r w:rsidR="004A7DC6">
        <w:t xml:space="preserve">, and </w:t>
      </w:r>
      <w:r w:rsidR="0078194F">
        <w:t xml:space="preserve">Energy </w:t>
      </w:r>
      <w:r w:rsidR="004A7DC6" w:rsidRPr="004A7DC6">
        <w:t xml:space="preserve">Price </w:t>
      </w:r>
      <w:r w:rsidR="0078194F">
        <w:t>i</w:t>
      </w:r>
      <w:r w:rsidR="0050038F">
        <w:t>s i</w:t>
      </w:r>
      <w:r w:rsidR="0078194F">
        <w:t xml:space="preserve">n </w:t>
      </w:r>
      <w:r w:rsidR="004A7DC6" w:rsidRPr="004A7DC6">
        <w:t>¢/kWh</w:t>
      </w:r>
      <w:r w:rsidR="004A7DC6">
        <w:t>.</w:t>
      </w:r>
      <w:r w:rsidR="008E55E6">
        <w:t xml:space="preserve"> </w:t>
      </w:r>
    </w:p>
    <w:p w14:paraId="0D4C1FE0" w14:textId="350EE45B" w:rsidR="004A7DC6" w:rsidRPr="004A7DC6" w:rsidRDefault="0050038F" w:rsidP="004A7DC6">
      <w:r>
        <w:t>*</w:t>
      </w:r>
      <w:r w:rsidR="008E55E6">
        <w:t xml:space="preserve">Note </w:t>
      </w:r>
      <w:r w:rsidR="008E55E6">
        <w:rPr>
          <w:i/>
          <w:iCs/>
        </w:rPr>
        <w:t>Sales</w:t>
      </w:r>
      <w:r w:rsidR="008E55E6">
        <w:t xml:space="preserve"> indicated total energy consumption.</w:t>
      </w:r>
    </w:p>
    <w:p w14:paraId="0688B072" w14:textId="3C6F988F" w:rsidR="002A307D" w:rsidRDefault="002A307D" w:rsidP="002A307D"/>
    <w:p w14:paraId="762CC462" w14:textId="77777777" w:rsidR="002A307D" w:rsidRDefault="002A307D" w:rsidP="00EF088E">
      <w:pPr>
        <w:jc w:val="center"/>
      </w:pPr>
      <w:r w:rsidRPr="00C22A48">
        <w:rPr>
          <w:noProof/>
        </w:rPr>
        <w:drawing>
          <wp:inline distT="0" distB="0" distL="0" distR="0" wp14:anchorId="2E76CB9A" wp14:editId="1E6DB148">
            <wp:extent cx="5878286" cy="2145323"/>
            <wp:effectExtent l="0" t="0" r="8255" b="762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688" cy="214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9E79" w14:textId="6A5A22F3" w:rsidR="002A307D" w:rsidRDefault="0050038F" w:rsidP="002A307D">
      <w:r>
        <w:br/>
      </w:r>
      <w:r w:rsidR="002A307D">
        <w:t xml:space="preserve">Above is a graph of stringency levels per state compared to the US Average. The states were chosen randomly, and </w:t>
      </w:r>
      <w:r>
        <w:t xml:space="preserve">the data indicates </w:t>
      </w:r>
      <w:r w:rsidR="002A307D">
        <w:t>some states like California and Michigan were stricter than average, and some states like North Dakota and Iowa were much less strict</w:t>
      </w:r>
      <w:r>
        <w:t>.</w:t>
      </w:r>
      <w:r>
        <w:br/>
      </w:r>
    </w:p>
    <w:p w14:paraId="68880089" w14:textId="2AD6D874" w:rsidR="004128C2" w:rsidRDefault="004128C2" w:rsidP="00EF088E">
      <w:pPr>
        <w:jc w:val="center"/>
      </w:pPr>
      <w:r w:rsidRPr="004128C2">
        <w:rPr>
          <w:noProof/>
        </w:rPr>
        <w:drawing>
          <wp:inline distT="0" distB="0" distL="0" distR="0" wp14:anchorId="12D26B37" wp14:editId="5DBD0142">
            <wp:extent cx="5943600" cy="2864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7671" w14:textId="57BE37A7" w:rsidR="000E298C" w:rsidRDefault="0050038F" w:rsidP="002A307D">
      <w:r>
        <w:br/>
      </w:r>
      <w:r w:rsidR="000E298C">
        <w:t>Above are graphs showing electric consumption over time segmented by each sector.</w:t>
      </w:r>
      <w:r>
        <w:t xml:space="preserve"> </w:t>
      </w:r>
      <w:r w:rsidR="000E298C">
        <w:t xml:space="preserve">We </w:t>
      </w:r>
      <w:r w:rsidR="0078194F">
        <w:t>see that for residential that the peak in 2020 is much larger than previous years. Also, there are immediate downward spikes in usage for commercial and industrial.</w:t>
      </w:r>
    </w:p>
    <w:p w14:paraId="3769E553" w14:textId="3D070F9F" w:rsidR="0050038F" w:rsidRDefault="0050038F" w:rsidP="002A307D">
      <w:r>
        <w:t>*Note that electric consumption level follows an oscillating pattern with peak usage in the summer and troughs in the winter.</w:t>
      </w:r>
    </w:p>
    <w:p w14:paraId="7CB58201" w14:textId="77777777" w:rsidR="000F6183" w:rsidRPr="0081532B" w:rsidRDefault="000F6183" w:rsidP="000F6183">
      <w:pPr>
        <w:ind w:left="1080"/>
      </w:pPr>
    </w:p>
    <w:p w14:paraId="64E144F6" w14:textId="77777777" w:rsidR="0050038F" w:rsidRDefault="0050038F" w:rsidP="000F6183"/>
    <w:p w14:paraId="4C2FCAAA" w14:textId="72B3556E" w:rsidR="000F6183" w:rsidRPr="00351168" w:rsidRDefault="000F6183" w:rsidP="000F6183">
      <w:pPr>
        <w:rPr>
          <w:sz w:val="36"/>
          <w:szCs w:val="36"/>
        </w:rPr>
      </w:pPr>
      <w:r w:rsidRPr="00351168">
        <w:rPr>
          <w:sz w:val="36"/>
          <w:szCs w:val="36"/>
        </w:rPr>
        <w:t>Empirical Specification:</w:t>
      </w:r>
    </w:p>
    <w:p w14:paraId="607ECC4C" w14:textId="77777777" w:rsidR="000F6183" w:rsidRPr="00640CF1" w:rsidRDefault="000F6183" w:rsidP="000F6183">
      <w:pPr>
        <w:rPr>
          <w:sz w:val="32"/>
          <w:szCs w:val="32"/>
        </w:rPr>
      </w:pPr>
      <w:proofErr w:type="spellStart"/>
      <w:proofErr w:type="gramStart"/>
      <w:r w:rsidRPr="00640CF1">
        <w:rPr>
          <w:sz w:val="32"/>
          <w:szCs w:val="32"/>
        </w:rPr>
        <w:t>Y</w:t>
      </w:r>
      <w:r w:rsidRPr="00640CF1">
        <w:rPr>
          <w:sz w:val="32"/>
          <w:szCs w:val="32"/>
          <w:vertAlign w:val="subscript"/>
        </w:rPr>
        <w:t>s,q</w:t>
      </w:r>
      <w:proofErr w:type="gramEnd"/>
      <w:r w:rsidRPr="00640CF1">
        <w:rPr>
          <w:sz w:val="32"/>
          <w:szCs w:val="32"/>
          <w:vertAlign w:val="subscript"/>
        </w:rPr>
        <w:t>,r</w:t>
      </w:r>
      <w:proofErr w:type="spellEnd"/>
      <w:r w:rsidRPr="00640CF1">
        <w:rPr>
          <w:sz w:val="32"/>
          <w:szCs w:val="32"/>
          <w:vertAlign w:val="subscript"/>
        </w:rPr>
        <w:t xml:space="preserve"> </w:t>
      </w:r>
      <w:r w:rsidRPr="00640CF1">
        <w:rPr>
          <w:sz w:val="32"/>
          <w:szCs w:val="32"/>
        </w:rPr>
        <w:t xml:space="preserve">= </w:t>
      </w:r>
      <w:r w:rsidRPr="00640CF1">
        <w:rPr>
          <w:sz w:val="32"/>
          <w:szCs w:val="32"/>
          <w:lang w:val="el-GR"/>
        </w:rPr>
        <w:t>β</w:t>
      </w:r>
      <w:r w:rsidRPr="00640CF1">
        <w:rPr>
          <w:sz w:val="32"/>
          <w:szCs w:val="32"/>
          <w:vertAlign w:val="subscript"/>
        </w:rPr>
        <w:t>0</w:t>
      </w:r>
      <w:r w:rsidRPr="00640CF1">
        <w:rPr>
          <w:sz w:val="32"/>
          <w:szCs w:val="32"/>
        </w:rPr>
        <w:t xml:space="preserve"> + </w:t>
      </w:r>
      <w:r w:rsidRPr="00640CF1">
        <w:rPr>
          <w:sz w:val="32"/>
          <w:szCs w:val="32"/>
          <w:lang w:val="el-GR"/>
        </w:rPr>
        <w:t>β</w:t>
      </w:r>
      <w:r w:rsidRPr="00640CF1">
        <w:rPr>
          <w:sz w:val="32"/>
          <w:szCs w:val="32"/>
          <w:vertAlign w:val="subscript"/>
        </w:rPr>
        <w:t>1</w:t>
      </w:r>
      <w:r w:rsidRPr="00640CF1">
        <w:rPr>
          <w:sz w:val="32"/>
          <w:szCs w:val="32"/>
        </w:rPr>
        <w:t>|T</w:t>
      </w:r>
      <w:r w:rsidRPr="00640CF1">
        <w:rPr>
          <w:sz w:val="32"/>
          <w:szCs w:val="32"/>
          <w:vertAlign w:val="subscript"/>
        </w:rPr>
        <w:t xml:space="preserve">s,q,r </w:t>
      </w:r>
      <w:r w:rsidRPr="00640CF1">
        <w:rPr>
          <w:sz w:val="32"/>
          <w:szCs w:val="32"/>
        </w:rPr>
        <w:t xml:space="preserve">-65|+ </w:t>
      </w:r>
      <w:r w:rsidRPr="00640CF1">
        <w:rPr>
          <w:sz w:val="32"/>
          <w:szCs w:val="32"/>
          <w:lang w:val="el-GR"/>
        </w:rPr>
        <w:t>β</w:t>
      </w:r>
      <w:r w:rsidRPr="00640CF1">
        <w:rPr>
          <w:sz w:val="32"/>
          <w:szCs w:val="32"/>
          <w:vertAlign w:val="subscript"/>
        </w:rPr>
        <w:t>2</w:t>
      </w:r>
      <w:r w:rsidRPr="00640CF1">
        <w:rPr>
          <w:sz w:val="32"/>
          <w:szCs w:val="32"/>
        </w:rPr>
        <w:t>(</w:t>
      </w:r>
      <w:proofErr w:type="spellStart"/>
      <w:r w:rsidRPr="00640CF1">
        <w:rPr>
          <w:sz w:val="32"/>
          <w:szCs w:val="32"/>
        </w:rPr>
        <w:t>GDP</w:t>
      </w:r>
      <w:r w:rsidRPr="00640CF1">
        <w:rPr>
          <w:sz w:val="32"/>
          <w:szCs w:val="32"/>
          <w:vertAlign w:val="subscript"/>
        </w:rPr>
        <w:t>s,q,r</w:t>
      </w:r>
      <w:proofErr w:type="spellEnd"/>
      <w:r w:rsidRPr="00640CF1">
        <w:rPr>
          <w:sz w:val="32"/>
          <w:szCs w:val="32"/>
        </w:rPr>
        <w:t xml:space="preserve">) + </w:t>
      </w:r>
      <w:r w:rsidRPr="00640CF1">
        <w:rPr>
          <w:sz w:val="32"/>
          <w:szCs w:val="32"/>
          <w:lang w:val="el-GR"/>
        </w:rPr>
        <w:t>β</w:t>
      </w:r>
      <w:r w:rsidRPr="00640CF1">
        <w:rPr>
          <w:sz w:val="32"/>
          <w:szCs w:val="32"/>
          <w:vertAlign w:val="subscript"/>
        </w:rPr>
        <w:t>3</w:t>
      </w:r>
      <w:r w:rsidRPr="00640CF1">
        <w:rPr>
          <w:sz w:val="32"/>
          <w:szCs w:val="32"/>
        </w:rPr>
        <w:t>(</w:t>
      </w:r>
      <w:proofErr w:type="spellStart"/>
      <w:r w:rsidRPr="00640CF1">
        <w:rPr>
          <w:sz w:val="32"/>
          <w:szCs w:val="32"/>
        </w:rPr>
        <w:t>Stringency</w:t>
      </w:r>
      <w:r w:rsidRPr="00640CF1">
        <w:rPr>
          <w:sz w:val="32"/>
          <w:szCs w:val="32"/>
          <w:vertAlign w:val="subscript"/>
        </w:rPr>
        <w:t>s,q,r</w:t>
      </w:r>
      <w:proofErr w:type="spellEnd"/>
      <w:r w:rsidRPr="00640CF1">
        <w:rPr>
          <w:sz w:val="32"/>
          <w:szCs w:val="32"/>
        </w:rPr>
        <w:t xml:space="preserve">) +  </w:t>
      </w:r>
      <w:r w:rsidRPr="00640CF1">
        <w:rPr>
          <w:sz w:val="32"/>
          <w:szCs w:val="32"/>
          <w:lang w:val="el-GR"/>
        </w:rPr>
        <w:t>λ</w:t>
      </w:r>
      <w:r w:rsidRPr="00640CF1">
        <w:rPr>
          <w:sz w:val="32"/>
          <w:szCs w:val="32"/>
          <w:vertAlign w:val="subscript"/>
        </w:rPr>
        <w:t>s</w:t>
      </w:r>
      <w:r w:rsidRPr="00640CF1">
        <w:rPr>
          <w:sz w:val="32"/>
          <w:szCs w:val="32"/>
        </w:rPr>
        <w:t xml:space="preserve"> + </w:t>
      </w:r>
      <w:r w:rsidRPr="00640CF1">
        <w:rPr>
          <w:sz w:val="32"/>
          <w:szCs w:val="32"/>
          <w:lang w:val="el-GR"/>
        </w:rPr>
        <w:t>θ</w:t>
      </w:r>
      <w:r w:rsidRPr="00640CF1">
        <w:rPr>
          <w:sz w:val="32"/>
          <w:szCs w:val="32"/>
          <w:vertAlign w:val="subscript"/>
        </w:rPr>
        <w:t>q</w:t>
      </w:r>
      <w:r w:rsidRPr="00640CF1">
        <w:rPr>
          <w:sz w:val="32"/>
          <w:szCs w:val="32"/>
        </w:rPr>
        <w:t xml:space="preserve"> + </w:t>
      </w:r>
      <w:r w:rsidRPr="00640CF1">
        <w:rPr>
          <w:sz w:val="32"/>
          <w:szCs w:val="32"/>
          <w:lang w:val="el-GR"/>
        </w:rPr>
        <w:t>ε</w:t>
      </w:r>
    </w:p>
    <w:p w14:paraId="7B707911" w14:textId="77777777" w:rsidR="000F6183" w:rsidRDefault="000F6183" w:rsidP="000F6183">
      <w:r>
        <w:t>S = state</w:t>
      </w:r>
    </w:p>
    <w:p w14:paraId="24E16BE0" w14:textId="77777777" w:rsidR="000F6183" w:rsidRDefault="000F6183" w:rsidP="000F6183">
      <w:r>
        <w:t>Q = quarterly</w:t>
      </w:r>
    </w:p>
    <w:p w14:paraId="76F43D06" w14:textId="77777777" w:rsidR="000F6183" w:rsidRPr="00791EDF" w:rsidRDefault="000F6183" w:rsidP="000F6183">
      <w:r>
        <w:t>R = Sector (Residential or Commercial)</w:t>
      </w:r>
    </w:p>
    <w:p w14:paraId="12D6086B" w14:textId="77777777" w:rsidR="000F6183" w:rsidRPr="00351168" w:rsidRDefault="000F6183" w:rsidP="000F6183">
      <w:r w:rsidRPr="00351168">
        <w:t xml:space="preserve"> </w:t>
      </w:r>
      <w:r w:rsidRPr="00351168">
        <w:rPr>
          <w:lang w:val="el-GR"/>
        </w:rPr>
        <w:t>λ</w:t>
      </w:r>
      <w:r w:rsidRPr="00351168">
        <w:t xml:space="preserve"> = State Fixed Effects</w:t>
      </w:r>
    </w:p>
    <w:p w14:paraId="352ACF89" w14:textId="5F400CB9" w:rsidR="0050038F" w:rsidRPr="00FA4759" w:rsidRDefault="000F6183" w:rsidP="000F6183">
      <w:r w:rsidRPr="00351168">
        <w:t xml:space="preserve"> </w:t>
      </w:r>
      <w:r w:rsidRPr="00351168">
        <w:rPr>
          <w:lang w:val="el-GR"/>
        </w:rPr>
        <w:t>θ</w:t>
      </w:r>
      <w:r w:rsidRPr="00351168">
        <w:t xml:space="preserve"> = Time-Based Fixed Effects</w:t>
      </w:r>
    </w:p>
    <w:p w14:paraId="1048E974" w14:textId="77777777" w:rsidR="0050038F" w:rsidRDefault="0050038F" w:rsidP="000F6183"/>
    <w:p w14:paraId="55B5C705" w14:textId="2622A827" w:rsidR="002E0185" w:rsidRDefault="000F6183" w:rsidP="002E0185">
      <w:pPr>
        <w:rPr>
          <w:sz w:val="36"/>
          <w:szCs w:val="36"/>
        </w:rPr>
      </w:pPr>
      <w:r w:rsidRPr="00351168">
        <w:rPr>
          <w:sz w:val="36"/>
          <w:szCs w:val="36"/>
        </w:rPr>
        <w:t xml:space="preserve">Regressions Results and Interpretation: </w:t>
      </w:r>
    </w:p>
    <w:p w14:paraId="1A99A089" w14:textId="5745A8F6" w:rsidR="008E55E6" w:rsidRPr="008E55E6" w:rsidRDefault="008E55E6" w:rsidP="002E0185">
      <w:pPr>
        <w:rPr>
          <w:noProof/>
        </w:rPr>
      </w:pPr>
      <w:r>
        <w:rPr>
          <w:noProof/>
        </w:rPr>
        <w:t xml:space="preserve">For all the below regressions tables </w:t>
      </w:r>
      <w:r w:rsidR="00150978">
        <w:rPr>
          <w:noProof/>
        </w:rPr>
        <w:t>note th</w:t>
      </w:r>
      <w:r w:rsidR="0050038F">
        <w:rPr>
          <w:noProof/>
        </w:rPr>
        <w:t>at</w:t>
      </w:r>
      <w:r w:rsidR="00150978">
        <w:rPr>
          <w:noProof/>
        </w:rPr>
        <w:t xml:space="preserve"> (1) is Residential Consumption (2) is Commercial Consumption (3) is Industrial Consumption (4) is Transportation Consumption</w:t>
      </w:r>
      <w:r w:rsidR="0050038F">
        <w:rPr>
          <w:noProof/>
        </w:rPr>
        <w:t>.</w:t>
      </w:r>
    </w:p>
    <w:p w14:paraId="7B1B8122" w14:textId="0C6F3FF3" w:rsidR="000F6183" w:rsidRDefault="00150978" w:rsidP="00EF088E">
      <w:pPr>
        <w:jc w:val="center"/>
        <w:rPr>
          <w:noProof/>
        </w:rPr>
      </w:pPr>
      <w:r w:rsidRPr="00150978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F50FD1" wp14:editId="7FB11923">
                <wp:simplePos x="0" y="0"/>
                <wp:positionH relativeFrom="column">
                  <wp:posOffset>2283160</wp:posOffset>
                </wp:positionH>
                <wp:positionV relativeFrom="paragraph">
                  <wp:posOffset>1274839</wp:posOffset>
                </wp:positionV>
                <wp:extent cx="3606485" cy="312373"/>
                <wp:effectExtent l="0" t="0" r="13335" b="1206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485" cy="31237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F92785" id="Rectangle: Rounded Corners 16" o:spid="_x0000_s1026" style="position:absolute;margin-left:179.8pt;margin-top:100.4pt;width:284pt;height:24.6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" filled="f" strokecolor="red" strokeweight="1pt">
                <v:stroke joinstyle="miter"/>
              </v:roundrect>
            </w:pict>
          </mc:Fallback>
        </mc:AlternateContent>
      </w:r>
      <w:r w:rsidR="00002865" w:rsidRPr="00002865">
        <w:rPr>
          <w:noProof/>
        </w:rPr>
        <w:drawing>
          <wp:inline distT="0" distB="0" distL="0" distR="0" wp14:anchorId="7B43EA15" wp14:editId="59211635">
            <wp:extent cx="5943600" cy="2858770"/>
            <wp:effectExtent l="0" t="0" r="0" b="0"/>
            <wp:docPr id="12" name="Picture 12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2BC6" w14:textId="266FCD98" w:rsidR="00002865" w:rsidRDefault="0050038F" w:rsidP="000F6183">
      <w:pPr>
        <w:rPr>
          <w:noProof/>
        </w:rPr>
      </w:pPr>
      <w:r>
        <w:rPr>
          <w:noProof/>
        </w:rPr>
        <w:br/>
      </w:r>
      <w:r w:rsidR="00002865">
        <w:rPr>
          <w:noProof/>
        </w:rPr>
        <w:t xml:space="preserve">Above includes </w:t>
      </w:r>
      <w:r w:rsidR="00150978">
        <w:rPr>
          <w:noProof/>
        </w:rPr>
        <w:t>q</w:t>
      </w:r>
      <w:r w:rsidR="00002865">
        <w:rPr>
          <w:noProof/>
        </w:rPr>
        <w:t xml:space="preserve">uarterly and </w:t>
      </w:r>
      <w:r w:rsidR="00150978">
        <w:rPr>
          <w:noProof/>
        </w:rPr>
        <w:t>s</w:t>
      </w:r>
      <w:r w:rsidR="00002865">
        <w:rPr>
          <w:noProof/>
        </w:rPr>
        <w:t xml:space="preserve">tate </w:t>
      </w:r>
      <w:r w:rsidR="00150978">
        <w:rPr>
          <w:noProof/>
        </w:rPr>
        <w:t>fixed effects, stringency is not statistically significant for any of the sectors. This indicates that there is not a causal relationship. There is a positive beta coefficient for residential and transportation sectors. There is a negative beta for commercial and industrial sectors. We do see signifcance in our controls (temperature and GDP).</w:t>
      </w:r>
    </w:p>
    <w:p w14:paraId="5C42D502" w14:textId="550E5B9A" w:rsidR="00002865" w:rsidRDefault="00150978" w:rsidP="000F61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DCFA17" wp14:editId="66A6F7AB">
                <wp:simplePos x="0" y="0"/>
                <wp:positionH relativeFrom="column">
                  <wp:posOffset>2305878</wp:posOffset>
                </wp:positionH>
                <wp:positionV relativeFrom="paragraph">
                  <wp:posOffset>1311965</wp:posOffset>
                </wp:positionV>
                <wp:extent cx="3549690" cy="318052"/>
                <wp:effectExtent l="0" t="0" r="12700" b="2540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9690" cy="31805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690DB1" id="Rectangle: Rounded Corners 17" o:spid="_x0000_s1026" style="position:absolute;margin-left:181.55pt;margin-top:103.3pt;width:279.5pt;height:25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002865" w:rsidRPr="00002865">
        <w:rPr>
          <w:noProof/>
        </w:rPr>
        <w:drawing>
          <wp:inline distT="0" distB="0" distL="0" distR="0" wp14:anchorId="22A3F88B" wp14:editId="0782BE8C">
            <wp:extent cx="5867702" cy="2959252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BFC5" w14:textId="5F62FCCF" w:rsidR="00002865" w:rsidRDefault="00FA4759" w:rsidP="000F6183">
      <w:pPr>
        <w:rPr>
          <w:noProof/>
        </w:rPr>
      </w:pPr>
      <w:r>
        <w:rPr>
          <w:noProof/>
        </w:rPr>
        <w:br/>
      </w:r>
      <w:r w:rsidR="00002865">
        <w:rPr>
          <w:noProof/>
        </w:rPr>
        <w:t>Above</w:t>
      </w:r>
      <w:r w:rsidR="00150978">
        <w:rPr>
          <w:noProof/>
        </w:rPr>
        <w:t xml:space="preserve"> contains</w:t>
      </w:r>
      <w:r w:rsidR="00002865">
        <w:rPr>
          <w:noProof/>
        </w:rPr>
        <w:t xml:space="preserve"> </w:t>
      </w:r>
      <w:r w:rsidR="00150978">
        <w:rPr>
          <w:noProof/>
        </w:rPr>
        <w:t>s</w:t>
      </w:r>
      <w:r w:rsidR="00002865">
        <w:rPr>
          <w:noProof/>
        </w:rPr>
        <w:t xml:space="preserve">tate and </w:t>
      </w:r>
      <w:r w:rsidR="00150978">
        <w:rPr>
          <w:noProof/>
        </w:rPr>
        <w:t>y</w:t>
      </w:r>
      <w:r w:rsidR="00002865">
        <w:rPr>
          <w:noProof/>
        </w:rPr>
        <w:t xml:space="preserve">early </w:t>
      </w:r>
      <w:r w:rsidR="00150978">
        <w:rPr>
          <w:noProof/>
        </w:rPr>
        <w:t>fixed effects. We see statistically significant (5% level) negative relationships between stringency and consumption for commercial, industrial, and transportation).</w:t>
      </w:r>
      <w:r>
        <w:rPr>
          <w:noProof/>
        </w:rPr>
        <w:t xml:space="preserve"> </w:t>
      </w:r>
      <w:r w:rsidR="00150978">
        <w:rPr>
          <w:noProof/>
        </w:rPr>
        <w:t xml:space="preserve">There is also a positive insignficant relationship between residential consumption </w:t>
      </w:r>
      <w:r w:rsidR="004F13BF">
        <w:rPr>
          <w:noProof/>
        </w:rPr>
        <w:t>and stringency.</w:t>
      </w:r>
      <w:r>
        <w:rPr>
          <w:noProof/>
        </w:rPr>
        <w:br/>
      </w:r>
    </w:p>
    <w:p w14:paraId="60B12FD2" w14:textId="1479D6F2" w:rsidR="00002865" w:rsidRDefault="004F13BF" w:rsidP="000F61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137BA1D" wp14:editId="68B20F46">
                <wp:simplePos x="0" y="0"/>
                <wp:positionH relativeFrom="column">
                  <wp:posOffset>2215006</wp:posOffset>
                </wp:positionH>
                <wp:positionV relativeFrom="paragraph">
                  <wp:posOffset>1315314</wp:posOffset>
                </wp:positionV>
                <wp:extent cx="3566728" cy="301013"/>
                <wp:effectExtent l="0" t="0" r="15240" b="2286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728" cy="30101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A3F799" id="Rectangle: Rounded Corners 18" o:spid="_x0000_s1026" style="position:absolute;margin-left:174.4pt;margin-top:103.55pt;width:280.85pt;height:23.7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" filled="f" strokecolor="red" strokeweight="1pt">
                <v:stroke joinstyle="miter"/>
              </v:roundrect>
            </w:pict>
          </mc:Fallback>
        </mc:AlternateContent>
      </w:r>
      <w:r w:rsidR="00002865" w:rsidRPr="00002865">
        <w:rPr>
          <w:noProof/>
        </w:rPr>
        <w:drawing>
          <wp:inline distT="0" distB="0" distL="0" distR="0" wp14:anchorId="373128AD" wp14:editId="73F257E6">
            <wp:extent cx="5797848" cy="2997354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325A" w14:textId="77777777" w:rsidR="00FA4759" w:rsidRDefault="00FA4759" w:rsidP="000F6183">
      <w:pPr>
        <w:rPr>
          <w:noProof/>
        </w:rPr>
      </w:pPr>
      <w:r>
        <w:rPr>
          <w:noProof/>
        </w:rPr>
        <w:br/>
      </w:r>
      <w:r w:rsidR="00002865">
        <w:rPr>
          <w:noProof/>
        </w:rPr>
        <w:t xml:space="preserve">Above </w:t>
      </w:r>
      <w:r w:rsidR="00150978">
        <w:rPr>
          <w:noProof/>
        </w:rPr>
        <w:t>contains s</w:t>
      </w:r>
      <w:r w:rsidR="00002865">
        <w:rPr>
          <w:noProof/>
        </w:rPr>
        <w:t xml:space="preserve">tate </w:t>
      </w:r>
      <w:r w:rsidR="00150978">
        <w:rPr>
          <w:noProof/>
        </w:rPr>
        <w:t>fixed effects only</w:t>
      </w:r>
      <w:r w:rsidR="004F13BF">
        <w:rPr>
          <w:noProof/>
        </w:rPr>
        <w:t>. There is a signicant (10% level) positive relationship between residential consumption and stringency. Also, there is a signicant (1% and 10% level respectively) negative relationship between industrial and transportationconsumption and stringency.</w:t>
      </w:r>
    </w:p>
    <w:p w14:paraId="3CF6D55F" w14:textId="11663A36" w:rsidR="00150978" w:rsidRDefault="004B4E9C" w:rsidP="000F6183">
      <w:pPr>
        <w:rPr>
          <w:noProof/>
        </w:rPr>
      </w:pPr>
      <w:r>
        <w:rPr>
          <w:noProof/>
        </w:rPr>
        <w:t xml:space="preserve">Overall, my findings concur with </w:t>
      </w:r>
      <w:r w:rsidR="00FA4759">
        <w:rPr>
          <w:noProof/>
        </w:rPr>
        <w:t>previous literature in that</w:t>
      </w:r>
      <w:r>
        <w:rPr>
          <w:noProof/>
        </w:rPr>
        <w:t xml:space="preserve"> residential consumptions increase after the pandemic as well as commercial energy use decreasing</w:t>
      </w:r>
      <w:r w:rsidR="00FA4759">
        <w:rPr>
          <w:noProof/>
        </w:rPr>
        <w:t>.</w:t>
      </w:r>
    </w:p>
    <w:p w14:paraId="414838AB" w14:textId="77777777" w:rsidR="00FA4759" w:rsidRDefault="00FA4759" w:rsidP="000F6183">
      <w:pPr>
        <w:rPr>
          <w:noProof/>
        </w:rPr>
      </w:pPr>
    </w:p>
    <w:p w14:paraId="32C7DDAA" w14:textId="0DE42E4F" w:rsidR="000E6CE4" w:rsidRDefault="00E2383E" w:rsidP="00E2383E">
      <w:pPr>
        <w:rPr>
          <w:sz w:val="36"/>
          <w:szCs w:val="36"/>
        </w:rPr>
      </w:pPr>
      <w:r>
        <w:rPr>
          <w:sz w:val="36"/>
          <w:szCs w:val="36"/>
        </w:rPr>
        <w:t>Weaknesses</w:t>
      </w:r>
    </w:p>
    <w:p w14:paraId="6935F51A" w14:textId="79E4508B" w:rsidR="000F6183" w:rsidRDefault="000E6CE4" w:rsidP="000F6183">
      <w:pPr>
        <w:rPr>
          <w:noProof/>
        </w:rPr>
      </w:pPr>
      <w:r>
        <w:rPr>
          <w:noProof/>
        </w:rPr>
        <w:t xml:space="preserve">There are some weaknesses </w:t>
      </w:r>
      <w:r w:rsidR="00FA4759">
        <w:rPr>
          <w:noProof/>
        </w:rPr>
        <w:t>present in</w:t>
      </w:r>
      <w:r>
        <w:rPr>
          <w:noProof/>
        </w:rPr>
        <w:t xml:space="preserve"> this paper. Firstly, there is no perfect measure on the level of lockdowns, </w:t>
      </w:r>
      <w:r w:rsidR="00BE0E23">
        <w:rPr>
          <w:noProof/>
        </w:rPr>
        <w:t>but for the purposes of th</w:t>
      </w:r>
      <w:r w:rsidR="00FA4759">
        <w:rPr>
          <w:noProof/>
        </w:rPr>
        <w:t>e research</w:t>
      </w:r>
      <w:r w:rsidR="00BE0E23">
        <w:rPr>
          <w:noProof/>
        </w:rPr>
        <w:t xml:space="preserve"> I use</w:t>
      </w:r>
      <w:r w:rsidR="00FA4759">
        <w:rPr>
          <w:noProof/>
        </w:rPr>
        <w:t>d</w:t>
      </w:r>
      <w:r w:rsidR="00BE0E23">
        <w:rPr>
          <w:noProof/>
        </w:rPr>
        <w:t xml:space="preserve"> an index. Also, using quarterly data caused some data loss. Overall, I did not find causality in </w:t>
      </w:r>
      <w:r w:rsidR="00FA4759">
        <w:rPr>
          <w:noProof/>
        </w:rPr>
        <w:t xml:space="preserve">the research so </w:t>
      </w:r>
      <w:r w:rsidR="00BE0E23">
        <w:rPr>
          <w:noProof/>
        </w:rPr>
        <w:t>maybe approaching this a Diff-in-Diff approach cou</w:t>
      </w:r>
      <w:r w:rsidR="00FA4759">
        <w:rPr>
          <w:noProof/>
        </w:rPr>
        <w:t>ld produce</w:t>
      </w:r>
      <w:r w:rsidR="00BE0E23">
        <w:rPr>
          <w:noProof/>
        </w:rPr>
        <w:t xml:space="preserve"> these results.</w:t>
      </w:r>
    </w:p>
    <w:p w14:paraId="5608DB1C" w14:textId="77777777" w:rsidR="000F6183" w:rsidRDefault="000F6183" w:rsidP="000F6183">
      <w:pPr>
        <w:rPr>
          <w:noProof/>
        </w:rPr>
      </w:pPr>
    </w:p>
    <w:p w14:paraId="2CCA93E5" w14:textId="3120514D" w:rsidR="000F6183" w:rsidRDefault="002E0185" w:rsidP="000F6183">
      <w:pPr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3FDBCD5E" w14:textId="04B20002" w:rsidR="00517727" w:rsidRPr="00517727" w:rsidRDefault="00517727" w:rsidP="000F6183">
      <w:pPr>
        <w:rPr>
          <w:noProof/>
        </w:rPr>
      </w:pPr>
      <w:r>
        <w:t xml:space="preserve">This paper </w:t>
      </w:r>
      <w:r w:rsidR="00FA4759">
        <w:t>investigates</w:t>
      </w:r>
      <w:r>
        <w:t xml:space="preserve"> how government stay-at-home policies affected the energy consumption in the United States. </w:t>
      </w:r>
      <w:r w:rsidR="00FA4759">
        <w:t>My research indicated</w:t>
      </w:r>
      <w:r>
        <w:t xml:space="preserve"> that stay-at-home policies changed our electric consumption behavior </w:t>
      </w:r>
      <w:r w:rsidR="00FA4759">
        <w:t xml:space="preserve">so that </w:t>
      </w:r>
      <w:r>
        <w:t>residential consumption increase</w:t>
      </w:r>
      <w:r w:rsidR="00FA4759">
        <w:t>d</w:t>
      </w:r>
      <w:r>
        <w:t xml:space="preserve"> and industrial/commercial decrease</w:t>
      </w:r>
      <w:r w:rsidR="00FA4759">
        <w:t>d</w:t>
      </w:r>
      <w:r>
        <w:t>. Although, my paper does not prove causality between consumption and stringency</w:t>
      </w:r>
      <w:r w:rsidR="00FA4759">
        <w:t>, my research did indicate</w:t>
      </w:r>
      <w:r>
        <w:t xml:space="preserve"> a strong relationship. Causality could possibly be found through a more complex Diff-in-Diff analysis. Overall, the result</w:t>
      </w:r>
      <w:r w:rsidR="004B4E9C">
        <w:t>s</w:t>
      </w:r>
      <w:r>
        <w:t xml:space="preserve"> </w:t>
      </w:r>
      <w:r w:rsidR="00FA4759">
        <w:t>prove</w:t>
      </w:r>
      <w:r>
        <w:t xml:space="preserve"> that governments policies can be effective in changing in behavior. One possible application</w:t>
      </w:r>
      <w:r w:rsidR="00765CE8">
        <w:t xml:space="preserve"> of this is </w:t>
      </w:r>
      <w:r w:rsidR="00FA4759">
        <w:t xml:space="preserve">in the event of </w:t>
      </w:r>
      <w:r>
        <w:t>an emergency shortage in the energy</w:t>
      </w:r>
      <w:r w:rsidR="00FA4759">
        <w:t xml:space="preserve"> supply</w:t>
      </w:r>
      <w:r w:rsidR="004B4E9C">
        <w:t>,</w:t>
      </w:r>
      <w:r w:rsidR="00FA4759">
        <w:t xml:space="preserve"> then</w:t>
      </w:r>
      <w:r>
        <w:t xml:space="preserve"> government could effectively change behavior</w:t>
      </w:r>
      <w:r w:rsidR="00765CE8">
        <w:t xml:space="preserve">. </w:t>
      </w:r>
      <w:r w:rsidR="00FA4759">
        <w:t>Finally</w:t>
      </w:r>
      <w:r w:rsidR="005329BF">
        <w:t>,</w:t>
      </w:r>
      <w:r w:rsidR="00765CE8">
        <w:t xml:space="preserve"> </w:t>
      </w:r>
      <w:r w:rsidR="00FA4759">
        <w:t xml:space="preserve">the </w:t>
      </w:r>
      <w:r w:rsidR="009F1C2E">
        <w:t>government</w:t>
      </w:r>
      <w:r w:rsidR="00765CE8">
        <w:t xml:space="preserve"> can use these results to better plan our costly energy infrastructure.</w:t>
      </w:r>
    </w:p>
    <w:p w14:paraId="7298800B" w14:textId="77777777" w:rsidR="000F6183" w:rsidRDefault="000F6183" w:rsidP="000F6183">
      <w:pPr>
        <w:rPr>
          <w:noProof/>
        </w:rPr>
      </w:pPr>
    </w:p>
    <w:p w14:paraId="5F752D9D" w14:textId="77777777" w:rsidR="000F6183" w:rsidRDefault="000F6183" w:rsidP="000F6183">
      <w:pPr>
        <w:rPr>
          <w:noProof/>
        </w:rPr>
      </w:pPr>
    </w:p>
    <w:p w14:paraId="2D63D78C" w14:textId="77777777" w:rsidR="000F6183" w:rsidRDefault="000F6183" w:rsidP="000F6183">
      <w:pPr>
        <w:rPr>
          <w:noProof/>
        </w:rPr>
      </w:pPr>
    </w:p>
    <w:p w14:paraId="6A50E4D5" w14:textId="77777777" w:rsidR="000F6183" w:rsidRDefault="000F6183" w:rsidP="000F6183">
      <w:pPr>
        <w:rPr>
          <w:noProof/>
        </w:rPr>
      </w:pPr>
    </w:p>
    <w:p w14:paraId="3C67AA74" w14:textId="77777777" w:rsidR="000F6183" w:rsidRDefault="000F6183" w:rsidP="000F6183">
      <w:pPr>
        <w:rPr>
          <w:noProof/>
        </w:rPr>
      </w:pPr>
    </w:p>
    <w:p w14:paraId="2A67314A" w14:textId="64646404" w:rsidR="002E27D0" w:rsidRDefault="009F1C2E">
      <w:pPr>
        <w:rPr>
          <w:noProof/>
        </w:rPr>
      </w:pPr>
    </w:p>
    <w:p w14:paraId="7A5DEABB" w14:textId="0002FCC0" w:rsidR="00150978" w:rsidRDefault="00150978">
      <w:pPr>
        <w:rPr>
          <w:noProof/>
        </w:rPr>
      </w:pPr>
    </w:p>
    <w:p w14:paraId="0DA70C1F" w14:textId="5C88C7D8" w:rsidR="00150978" w:rsidRDefault="00150978">
      <w:pPr>
        <w:rPr>
          <w:noProof/>
        </w:rPr>
      </w:pPr>
    </w:p>
    <w:p w14:paraId="0667952F" w14:textId="4ED2D07D" w:rsidR="00150978" w:rsidRDefault="00150978">
      <w:pPr>
        <w:rPr>
          <w:noProof/>
        </w:rPr>
      </w:pPr>
    </w:p>
    <w:p w14:paraId="08952FE5" w14:textId="5E5B078E" w:rsidR="00150978" w:rsidRDefault="00150978">
      <w:pPr>
        <w:rPr>
          <w:noProof/>
        </w:rPr>
      </w:pPr>
    </w:p>
    <w:p w14:paraId="653DC899" w14:textId="0E4572A5" w:rsidR="00150978" w:rsidRDefault="00150978">
      <w:pPr>
        <w:rPr>
          <w:noProof/>
        </w:rPr>
      </w:pPr>
    </w:p>
    <w:p w14:paraId="194BEE59" w14:textId="11038DF9" w:rsidR="00150978" w:rsidRDefault="00150978">
      <w:pPr>
        <w:rPr>
          <w:noProof/>
        </w:rPr>
      </w:pPr>
    </w:p>
    <w:p w14:paraId="34EFED9F" w14:textId="77777777" w:rsidR="00150978" w:rsidRDefault="00150978">
      <w:pPr>
        <w:rPr>
          <w:noProof/>
        </w:rPr>
      </w:pPr>
    </w:p>
    <w:p w14:paraId="304A1B24" w14:textId="1F1D4DB6" w:rsidR="00487C62" w:rsidRDefault="00EF088E" w:rsidP="00487C62">
      <w:pPr>
        <w:jc w:val="center"/>
        <w:rPr>
          <w:noProof/>
        </w:rPr>
      </w:pPr>
      <w:r>
        <w:rPr>
          <w:noProof/>
        </w:rPr>
        <w:t>Bibliography</w:t>
      </w:r>
    </w:p>
    <w:p w14:paraId="7F0FCE71" w14:textId="09FA18C2" w:rsidR="00B733E7" w:rsidRDefault="00B733E7" w:rsidP="00B733E7">
      <w:pPr>
        <w:pStyle w:val="NormalWeb"/>
      </w:pPr>
      <w:r w:rsidRPr="00B733E7">
        <w:t xml:space="preserve">Brewer, Dylan. “Changes in Electricity Use Following </w:t>
      </w:r>
      <w:r w:rsidR="005B1595">
        <w:t>COVID</w:t>
      </w:r>
      <w:r w:rsidRPr="00B733E7">
        <w:t xml:space="preserve">-19 Stay-at-Home Behavior.” </w:t>
      </w:r>
      <w:r w:rsidRPr="00B733E7">
        <w:rPr>
          <w:i/>
          <w:iCs/>
        </w:rPr>
        <w:t>National Bureau of Economic Research</w:t>
      </w:r>
      <w:r w:rsidRPr="00B733E7">
        <w:t xml:space="preserve">. </w:t>
      </w:r>
    </w:p>
    <w:p w14:paraId="7EC25D92" w14:textId="100F5007" w:rsidR="00B733E7" w:rsidRDefault="00B733E7" w:rsidP="00B733E7">
      <w:pPr>
        <w:pStyle w:val="NormalWeb"/>
      </w:pPr>
      <w:r w:rsidRPr="00B733E7">
        <w:t xml:space="preserve">Buechler, Elizabeth. “Power and the Pandemic: Exploring Global Changes in Electricity Demand During </w:t>
      </w:r>
      <w:r w:rsidR="005B1595">
        <w:t>COVID</w:t>
      </w:r>
      <w:r w:rsidRPr="00B733E7">
        <w:t xml:space="preserve">-19.” </w:t>
      </w:r>
      <w:proofErr w:type="spellStart"/>
      <w:r w:rsidRPr="00B733E7">
        <w:rPr>
          <w:i/>
          <w:iCs/>
        </w:rPr>
        <w:t>Precourt</w:t>
      </w:r>
      <w:proofErr w:type="spellEnd"/>
      <w:r w:rsidRPr="00B733E7">
        <w:rPr>
          <w:i/>
          <w:iCs/>
        </w:rPr>
        <w:t xml:space="preserve"> Institute for Energy of Stanford University</w:t>
      </w:r>
      <w:r w:rsidRPr="00B733E7">
        <w:t xml:space="preserve">. </w:t>
      </w:r>
    </w:p>
    <w:p w14:paraId="7640FC1C" w14:textId="670414EC" w:rsidR="00B733E7" w:rsidRDefault="00B733E7" w:rsidP="00B733E7">
      <w:pPr>
        <w:pStyle w:val="NormalWeb"/>
        <w:ind w:left="567" w:hanging="567"/>
      </w:pPr>
      <w:r>
        <w:t xml:space="preserve">Bui, </w:t>
      </w:r>
      <w:proofErr w:type="spellStart"/>
      <w:r>
        <w:t>Quoctrung</w:t>
      </w:r>
      <w:proofErr w:type="spellEnd"/>
      <w:r>
        <w:t xml:space="preserve">, and Justin Wolfers. “Another Way to See the Recession: Power Usage Is Way Down.” </w:t>
      </w:r>
      <w:r>
        <w:rPr>
          <w:i/>
          <w:iCs/>
        </w:rPr>
        <w:t>The New York Times</w:t>
      </w:r>
      <w:r>
        <w:t xml:space="preserve">, The New York Times, 8 Apr. 2020, https://www.nytimes.com/interactive/2020/04/08/upshot/electricity-usage-predict-coronavirus-recession.html. </w:t>
      </w:r>
      <w:r w:rsidRPr="00B733E7">
        <w:tab/>
      </w:r>
    </w:p>
    <w:p w14:paraId="22A3840B" w14:textId="27A68E7C" w:rsidR="00FA4759" w:rsidRDefault="00FA4759" w:rsidP="00FA4759">
      <w:pPr>
        <w:pStyle w:val="NormalWeb"/>
        <w:ind w:left="567" w:hanging="567"/>
      </w:pPr>
      <w:r>
        <w:t xml:space="preserve">Bureau, US Census. “The Number of People Primarily Working from Home Tripled between 2019 and 2021.” </w:t>
      </w:r>
      <w:r>
        <w:rPr>
          <w:i/>
          <w:iCs/>
        </w:rPr>
        <w:t>Census.gov</w:t>
      </w:r>
      <w:r>
        <w:t xml:space="preserve">, 16 Sept. 2022, https://www.census.gov/newsroom/press-releases/2022/people-working-from-home.html. </w:t>
      </w:r>
    </w:p>
    <w:p w14:paraId="4B337C24" w14:textId="112E4D78" w:rsidR="00B733E7" w:rsidRPr="00B733E7" w:rsidRDefault="00B733E7" w:rsidP="00B733E7">
      <w:pPr>
        <w:pStyle w:val="NormalWeb"/>
      </w:pPr>
      <w:r w:rsidRPr="00B733E7">
        <w:t>Cicala, Steve. “</w:t>
      </w:r>
      <w:proofErr w:type="spellStart"/>
      <w:r w:rsidRPr="00B733E7">
        <w:t>Jue</w:t>
      </w:r>
      <w:proofErr w:type="spellEnd"/>
      <w:r w:rsidRPr="00B733E7">
        <w:t xml:space="preserve">: Insights: Powering Work from Home.” </w:t>
      </w:r>
      <w:r w:rsidRPr="00B733E7">
        <w:rPr>
          <w:i/>
          <w:iCs/>
        </w:rPr>
        <w:t>Journal of Urban Economics</w:t>
      </w:r>
      <w:r w:rsidRPr="00B733E7">
        <w:t>, 2022, p. 103474., https://doi.org/10.1016/j.jue.2022.103474.</w:t>
      </w:r>
    </w:p>
    <w:p w14:paraId="26288156" w14:textId="77777777" w:rsidR="00B733E7" w:rsidRDefault="00B733E7" w:rsidP="002A307D">
      <w:pPr>
        <w:pStyle w:val="NormalWeb"/>
        <w:ind w:left="567" w:hanging="567"/>
      </w:pPr>
    </w:p>
    <w:p w14:paraId="20EB7B39" w14:textId="77777777" w:rsidR="002A307D" w:rsidRDefault="002A307D" w:rsidP="00487C62">
      <w:pPr>
        <w:jc w:val="center"/>
      </w:pPr>
    </w:p>
    <w:sectPr w:rsidR="002A3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550F1"/>
    <w:multiLevelType w:val="hybridMultilevel"/>
    <w:tmpl w:val="E8EE9F0C"/>
    <w:lvl w:ilvl="0" w:tplc="08482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C4C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26E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60A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DE1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8E5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089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D09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EA0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9A812A4"/>
    <w:multiLevelType w:val="hybridMultilevel"/>
    <w:tmpl w:val="81006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8603A"/>
    <w:multiLevelType w:val="hybridMultilevel"/>
    <w:tmpl w:val="CD50F49C"/>
    <w:lvl w:ilvl="0" w:tplc="A97ED0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F42B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ADE9CB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BAC3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22ED5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5E6C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722DD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D260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FE89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E7A5EC6"/>
    <w:multiLevelType w:val="hybridMultilevel"/>
    <w:tmpl w:val="2E389DF4"/>
    <w:lvl w:ilvl="0" w:tplc="43904A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08290F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C4B0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B329A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66032A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38A11B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6024B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FC9F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F859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774812970">
    <w:abstractNumId w:val="1"/>
  </w:num>
  <w:num w:numId="2" w16cid:durableId="1529099117">
    <w:abstractNumId w:val="3"/>
  </w:num>
  <w:num w:numId="3" w16cid:durableId="1288899314">
    <w:abstractNumId w:val="2"/>
  </w:num>
  <w:num w:numId="4" w16cid:durableId="9340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83"/>
    <w:rsid w:val="00002865"/>
    <w:rsid w:val="00017B56"/>
    <w:rsid w:val="000369AA"/>
    <w:rsid w:val="000E298C"/>
    <w:rsid w:val="000E6CE4"/>
    <w:rsid w:val="000F0F57"/>
    <w:rsid w:val="000F6183"/>
    <w:rsid w:val="00150978"/>
    <w:rsid w:val="00244990"/>
    <w:rsid w:val="00251FBB"/>
    <w:rsid w:val="002A307D"/>
    <w:rsid w:val="002E0185"/>
    <w:rsid w:val="002E38DA"/>
    <w:rsid w:val="002F46A6"/>
    <w:rsid w:val="002F6CA3"/>
    <w:rsid w:val="00302DCA"/>
    <w:rsid w:val="003076D4"/>
    <w:rsid w:val="00322EAA"/>
    <w:rsid w:val="00375BB4"/>
    <w:rsid w:val="003B2F3D"/>
    <w:rsid w:val="003C0E37"/>
    <w:rsid w:val="004128C2"/>
    <w:rsid w:val="004463F6"/>
    <w:rsid w:val="00487C62"/>
    <w:rsid w:val="004A7DC6"/>
    <w:rsid w:val="004B4E9C"/>
    <w:rsid w:val="004C5A96"/>
    <w:rsid w:val="004C5D04"/>
    <w:rsid w:val="004E4F76"/>
    <w:rsid w:val="004F13BF"/>
    <w:rsid w:val="004F5111"/>
    <w:rsid w:val="005002DE"/>
    <w:rsid w:val="0050038F"/>
    <w:rsid w:val="00517727"/>
    <w:rsid w:val="005329BF"/>
    <w:rsid w:val="005633CD"/>
    <w:rsid w:val="005B1595"/>
    <w:rsid w:val="00606182"/>
    <w:rsid w:val="0064215C"/>
    <w:rsid w:val="0069277C"/>
    <w:rsid w:val="00765CE8"/>
    <w:rsid w:val="00780067"/>
    <w:rsid w:val="0078194F"/>
    <w:rsid w:val="007977DC"/>
    <w:rsid w:val="008150C1"/>
    <w:rsid w:val="0088467B"/>
    <w:rsid w:val="008E55E6"/>
    <w:rsid w:val="00986E47"/>
    <w:rsid w:val="009F1C2E"/>
    <w:rsid w:val="00A1035E"/>
    <w:rsid w:val="00B733E7"/>
    <w:rsid w:val="00BE0E23"/>
    <w:rsid w:val="00D71DF4"/>
    <w:rsid w:val="00E2383E"/>
    <w:rsid w:val="00E579B0"/>
    <w:rsid w:val="00EF088E"/>
    <w:rsid w:val="00F8320B"/>
    <w:rsid w:val="00FA4759"/>
    <w:rsid w:val="00FA6FE9"/>
    <w:rsid w:val="00FB4E4C"/>
    <w:rsid w:val="00F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5818"/>
  <w15:chartTrackingRefBased/>
  <w15:docId w15:val="{53E0A8AC-4168-43A5-BE8A-025F9485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A7DC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8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531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75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7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61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7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381E7-39F2-49DE-8F16-EB32317E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Sarinopoulos</dc:creator>
  <cp:keywords/>
  <dc:description/>
  <cp:lastModifiedBy>Kosta Sarinopoulos</cp:lastModifiedBy>
  <cp:revision>3</cp:revision>
  <dcterms:created xsi:type="dcterms:W3CDTF">2022-12-14T04:43:00Z</dcterms:created>
  <dcterms:modified xsi:type="dcterms:W3CDTF">2022-12-14T04:45:00Z</dcterms:modified>
</cp:coreProperties>
</file>