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626FFF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626FFF">
        <w:br/>
        <w:t xml:space="preserve">You can check your solutions here: </w:t>
      </w:r>
      <w:hyperlink r:id="rId9" w:history="1">
        <w:r w:rsidR="00626FFF" w:rsidRPr="00A800F6">
          <w:rPr>
            <w:rStyle w:val="Hyperlink"/>
          </w:rPr>
          <w:t>https://judge.softuni.bg/Contests/Practice/Index/551#0</w:t>
        </w:r>
      </w:hyperlink>
      <w:r w:rsidR="00626FFF">
        <w:t xml:space="preserve"> </w:t>
      </w:r>
      <w:bookmarkStart w:id="0" w:name="_GoBack"/>
      <w:bookmarkEnd w:id="0"/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1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1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lastRenderedPageBreak/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2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  <w:lang w:val="en-GB" w:eastAsia="en-GB"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7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  <w:lang w:val="en-GB" w:eastAsia="en-GB"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  <w:lang w:val="en-GB" w:eastAsia="en-GB"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  <w:lang w:val="en-GB" w:eastAsia="en-GB"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  <w:lang w:val="en-GB" w:eastAsia="en-GB"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7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8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2"/>
      <w:footerReference w:type="default" r:id="rId3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5E" w:rsidRDefault="00C34A5E" w:rsidP="008068A2">
      <w:pPr>
        <w:spacing w:after="0" w:line="240" w:lineRule="auto"/>
      </w:pPr>
      <w:r>
        <w:separator/>
      </w:r>
    </w:p>
  </w:endnote>
  <w:endnote w:type="continuationSeparator" w:id="0">
    <w:p w:rsidR="00C34A5E" w:rsidRDefault="00C34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02ED2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5E" w:rsidRDefault="00C34A5E" w:rsidP="008068A2">
      <w:pPr>
        <w:spacing w:after="0" w:line="240" w:lineRule="auto"/>
      </w:pPr>
      <w:r>
        <w:separator/>
      </w:r>
    </w:p>
  </w:footnote>
  <w:footnote w:type="continuationSeparator" w:id="0">
    <w:p w:rsidR="00C34A5E" w:rsidRDefault="00C34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FFF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A5E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2B7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6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oubly_linked_list" TargetMode="External"/><Relationship Id="rId17" Type="http://schemas.openxmlformats.org/officeDocument/2006/relationships/hyperlink" Target="https://en.wikipedia.org/wiki/Visitor_pattern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msdn.microsoft.com/en-us/library/9k7k7cf0.asp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51#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Iterator_pattern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639FA-D88D-405D-A3FA-3D9A4BAA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11</Pages>
  <Words>1545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Milen Tsolov</cp:lastModifiedBy>
  <cp:revision>444</cp:revision>
  <cp:lastPrinted>2014-02-12T16:33:00Z</cp:lastPrinted>
  <dcterms:created xsi:type="dcterms:W3CDTF">2013-11-06T12:04:00Z</dcterms:created>
  <dcterms:modified xsi:type="dcterms:W3CDTF">2018-12-03T09:40:00Z</dcterms:modified>
  <cp:category>programming, education, software engineering, software development</cp:category>
</cp:coreProperties>
</file>