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C7D0" w14:textId="4A0010AB" w:rsidR="00262DAC" w:rsidRDefault="001F7FFD">
      <w:pPr>
        <w:rPr>
          <w:b/>
          <w:bCs/>
        </w:rPr>
      </w:pPr>
      <w:r>
        <w:rPr>
          <w:b/>
          <w:bCs/>
        </w:rPr>
        <w:t>Setting up the environment</w:t>
      </w:r>
    </w:p>
    <w:p w14:paraId="20DA6A6F" w14:textId="6138B995" w:rsidR="005749A0" w:rsidRPr="001F7FFD" w:rsidRDefault="001F7FFD">
      <w:r>
        <w:t>This project uses OpenAI’s open-source training system, Gymnasium. Gymnasium’s standard Fetch and Reach model targets a 7 Degree of Freedom (DoF) arm to move its end effector to a reachable, randomized point in 3D space as quickly as possible. By default, it employs sparse reward, a binary system that rewards the model with 0 if it is within 5cm of the target, or -1 (punishment) if not. This system can spark issues related to efficiency as the arm will often flail randomly for several episodes (iterations of the model) until it stumbles across the target space, rendering training essentially reduced to randomness for the first several generations. Contrarily, dense reward</w:t>
      </w:r>
      <w:r w:rsidR="00FF0455">
        <w:t xml:space="preserve"> </w:t>
      </w:r>
      <w:r>
        <w:t>uses the inverted distance between the end effector and the target coordinate as a reward</w:t>
      </w:r>
      <w:r w:rsidR="00FF0455">
        <w:t xml:space="preserve"> (e.g. getting closer to the target increases reward)</w:t>
      </w:r>
      <w:r>
        <w:t xml:space="preserve">. While this method works for this testing environment, problems arise in a more complex scenario in which the desired goal is not necessarily to reach the goal in the most direct way possible, which is the inevitable result of this approach. For example, introducing an obstacle between the end effector and the goal will simply result in the arm pressing into the obstacle to get as close as possible to the goal, maximizing its reward without actually achieving it. Therefore, this project will use a method known as Hindsight Experience Replay (HER). HER optimizes training efficiency by using previous failed attempts </w:t>
      </w:r>
      <w:r w:rsidR="005749A0">
        <w:t>as inference to accelerate further iterations. In essence, if the robot arm begins at point A with the goal of moving to point B, but instead ends the episode at point C, HER instead changes the goal from point B to point C, recording the episode as a successful attempt at moving from point A to point C.</w:t>
      </w:r>
    </w:p>
    <w:p>
      <w:r>
        <w:br w:type="page"/>
      </w:r>
    </w:p>
    <w:p>
      <w:pPr>
        <w:pStyle w:val="Title"/>
      </w:pPr>
      <w:r>
        <w:t>Final Report - Outline</w:t>
      </w:r>
    </w:p>
    <w:p>
      <w:pPr>
        <w:pStyle w:val="Heading1"/>
      </w:pPr>
      <w:r>
        <w:t>1. Abstract / Summary</w:t>
      </w:r>
    </w:p>
    <w:p>
      <w:r>
        <w:t>•  The question: does gradual bias introduction beat clean or instant randomization?</w:t>
      </w:r>
    </w:p>
    <w:p>
      <w:r>
        <w:t>•  The hypothesis: an optimal ramp rate alpha exists</w:t>
      </w:r>
    </w:p>
    <w:p>
      <w:r>
        <w:t>•  Headline finding: slow curriculum wins by avoiding forgetting; no interior sweet spot; instant DR is worst</w:t>
      </w:r>
    </w:p>
    <w:p>
      <w:pPr>
        <w:pStyle w:val="Heading1"/>
      </w:pPr>
      <w:r>
        <w:t>2. Introduction &amp; Motivation</w:t>
      </w:r>
    </w:p>
    <w:p>
      <w:r>
        <w:t>•  Sim-to-real gap: why simulation-trained policies fail on physical robots</w:t>
      </w:r>
    </w:p>
    <w:p>
      <w:r>
        <w:t>•  Systematic actuation error vs. random noise (the bias is consistent, not zero-mean)</w:t>
      </w:r>
    </w:p>
    <w:p>
      <w:r>
        <w:t>•  Domain randomization as the standard mitigation; gap probed here is the timing of randomization, not its presence</w:t>
      </w:r>
    </w:p>
    <w:p>
      <w:r>
        <w:t>•  State the hypothesis explicitly</w:t>
      </w:r>
    </w:p>
    <w:p>
      <w:pPr>
        <w:pStyle w:val="Heading1"/>
      </w:pPr>
      <w:r>
        <w:t>3. Setting up the environment</w:t>
      </w:r>
    </w:p>
    <w:p>
      <w:r>
        <w:t>•  Gymnasium FetchReach, 4D action space, 50-step episodes, 5 cm success threshold</w:t>
      </w:r>
    </w:p>
    <w:p>
      <w:r>
        <w:t>•  Sparse vs. dense reward (existing text)</w:t>
      </w:r>
    </w:p>
    <w:p>
      <w:r>
        <w:t>•  Hindsight Experience Replay (existing text)</w:t>
      </w:r>
    </w:p>
    <w:p>
      <w:r>
        <w:t>•  Algorithm choice: SAC + HER, why off-policy + replay suits sparse goal-conditioned tasks</w:t>
      </w:r>
    </w:p>
    <w:p>
      <w:r>
        <w:t>•  Graph: optional diagram of arm/goal geometry</w:t>
      </w:r>
    </w:p>
    <w:p>
      <w:pPr>
        <w:pStyle w:val="Heading1"/>
      </w:pPr>
      <w:r>
        <w:t>4. The Error Model &amp; Bias Wrapper</w:t>
      </w:r>
    </w:p>
    <w:p>
      <w:r>
        <w:t>•  Per-episode additive bias Uniform(-eps(t), +eps(t)), held constant within an episode (systematic != noise)</w:t>
      </w:r>
    </w:p>
    <w:p>
      <w:r>
        <w:t>•  The schedule eps(t) = min(eps_max, alpha*t)</w:t>
      </w:r>
    </w:p>
    <w:p>
      <w:r>
        <w:t>•  Wrapper design: curriculum / instant / fixed modes; the mastery gate (C5)</w:t>
      </w:r>
    </w:p>
    <w:p>
      <w:r>
        <w:t>•  Why bias is applied at the action level (actuator analogy)</w:t>
      </w:r>
    </w:p>
    <w:p>
      <w:r>
        <w:t>•  Graph: eps(t) vs. timestep, all conditions overlaid (shows what slow/medium/fast/instant/gated mean)</w:t>
      </w:r>
    </w:p>
    <w:p>
      <w:pPr>
        <w:pStyle w:val="Heading1"/>
      </w:pPr>
      <w:r>
        <w:t>5. Experimental Design</w:t>
      </w:r>
    </w:p>
    <w:p>
      <w:r>
        <w:t>•  Choosing eps_max = 1.1 (the ~57% mid-degradation rationale)</w:t>
      </w:r>
    </w:p>
    <w:p>
      <w:r>
        <w:t>•  Condition matrix (C0-C5) table</w:t>
      </w:r>
    </w:p>
    <w:p>
      <w:r>
        <w:t>•  Controls: identical hyperparameters/architecture/steps; only alpha and eps_max vary; 3 seeds</w:t>
      </w:r>
    </w:p>
    <w:p>
      <w:r>
        <w:t>•  The forgetting probe (clean-env eval during training) - what it measures and why</w:t>
      </w:r>
    </w:p>
    <w:p>
      <w:r>
        <w:t>•  Graph: success rate vs. bias magnitude for the clean policy (justifies eps_max = 1.1)</w:t>
      </w:r>
    </w:p>
    <w:p>
      <w:pPr>
        <w:pStyle w:val="Heading1"/>
      </w:pPr>
      <w:r>
        <w:t>6. Results</w:t>
      </w:r>
    </w:p>
    <w:p>
      <w:r>
        <w:t>•  Robustness vs. bias magnitude across eps = 0.5 / 0.8 / 1.1 (main table)</w:t>
      </w:r>
    </w:p>
    <w:p>
      <w:r>
        <w:t>•  Clean-competence cross-check at eps=1.1 (forgetting outcome)</w:t>
      </w:r>
    </w:p>
    <w:p>
      <w:r>
        <w:t>•  The saturation effect at eps=1.1 (why conditions collapse together there)</w:t>
      </w:r>
    </w:p>
    <w:p>
      <w:r>
        <w:t>•  Graph: robustness curve - biased success vs. eps, one line per condition (ood_wide.csv) - HEADLINE PLOT</w:t>
      </w:r>
    </w:p>
    <w:p>
      <w:r>
        <w:t>•  Graph: bar chart - clean success per condition with error bars (eval_summary.csv)</w:t>
      </w:r>
    </w:p>
    <w:p>
      <w:r>
        <w:t>•  Graph: forgetting curves - clean success vs. training timestep, all conditions (forgetting_wide.csv)</w:t>
      </w:r>
    </w:p>
    <w:p>
      <w:r>
        <w:t>•  Graph (optional): bar chart of biased success at eps=1.1 to show saturation flatness</w:t>
      </w:r>
    </w:p>
    <w:p>
      <w:pPr>
        <w:pStyle w:val="Heading1"/>
      </w:pPr>
      <w:r>
        <w:t>7. Interpretation / Discussion</w:t>
      </w:r>
    </w:p>
    <w:p>
      <w:r>
        <w:t>•  Hypothesis partially supported - the twist: mechanism is forgetting avoidance, not superior bias adaptation</w:t>
      </w:r>
    </w:p>
    <w:p>
      <w:r>
        <w:t>•  Why slower is monotonically better here (no interior optimum found)</w:t>
      </w:r>
    </w:p>
    <w:p>
      <w:r>
        <w:t>•  Why instant DR is actively harmful</w:t>
      </w:r>
    </w:p>
    <w:p>
      <w:r>
        <w:t>•  Why eps=1.1 flatness is a clipping/saturation artifact, not a null result</w:t>
      </w:r>
    </w:p>
    <w:p>
      <w:r>
        <w:t>•  C5 gated underperformance - what the gate did/didn't buy</w:t>
      </w:r>
    </w:p>
    <w:p>
      <w:pPr>
        <w:pStyle w:val="Heading1"/>
      </w:pPr>
      <w:r>
        <w:t>8. Limitations</w:t>
      </w:r>
    </w:p>
    <w:p>
      <w:r>
        <w:t>•  Uniform additive bias is simplified (no backlash, drift, joint nonlinearity)</w:t>
      </w:r>
    </w:p>
    <w:p>
      <w:r>
        <w:t>•  Sim-to-sim only, not hardware-validated</w:t>
      </w:r>
    </w:p>
    <w:p>
      <w:r>
        <w:t>•  FetchReach is deliberately easy; may not transfer to contact-rich tasks</w:t>
      </w:r>
    </w:p>
    <w:p>
      <w:r>
        <w:t>•  3 seeds; overlapping std bands on some comparisons</w:t>
      </w:r>
    </w:p>
    <w:p>
      <w:pPr>
        <w:pStyle w:val="Heading1"/>
      </w:pPr>
      <w:r>
        <w:t>9. Conclusion &amp; Future Work</w:t>
      </w:r>
    </w:p>
    <w:p>
      <w:r>
        <w:t>•  Restate the practical takeaway (prefer slow curriculum over instant DR)</w:t>
      </w:r>
    </w:p>
    <w:p>
      <w:r>
        <w:t>•  Next steps: hardware validation, system identification, FetchPush/PickAndPlace, more seeds, finer alpha grid near the slow end</w:t>
      </w:r>
    </w:p>
    <w:p>
      <w:pPr>
        <w:pStyle w:val="Heading1"/>
      </w:pPr>
      <w:r>
        <w:t>10. Reproducibility / Appendix</w:t>
      </w:r>
    </w:p>
    <w:p>
      <w:r>
        <w:t>•  Stack &amp; versions, config files, one-command rerun</w:t>
      </w:r>
    </w:p>
    <w:p>
      <w:r>
        <w:t>•  Optional appendix: per-seed raw numbers (eval_results.csv, ood_results.csv)</w:t>
      </w:r>
    </w:p>
    <w:sectPr w:rsidR="005749A0" w:rsidRPr="001F7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FD"/>
    <w:rsid w:val="00104210"/>
    <w:rsid w:val="001F7FFD"/>
    <w:rsid w:val="00262DAC"/>
    <w:rsid w:val="003A14DF"/>
    <w:rsid w:val="005749A0"/>
    <w:rsid w:val="00877F08"/>
    <w:rsid w:val="00FF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BAB3"/>
  <w15:chartTrackingRefBased/>
  <w15:docId w15:val="{23B7045C-0274-40D9-84EB-FE3CCD43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FFD"/>
    <w:rPr>
      <w:rFonts w:eastAsiaTheme="majorEastAsia" w:cstheme="majorBidi"/>
      <w:color w:val="272727" w:themeColor="text1" w:themeTint="D8"/>
    </w:rPr>
  </w:style>
  <w:style w:type="paragraph" w:styleId="Title">
    <w:name w:val="Title"/>
    <w:basedOn w:val="Normal"/>
    <w:next w:val="Normal"/>
    <w:link w:val="TitleChar"/>
    <w:uiPriority w:val="10"/>
    <w:qFormat/>
    <w:rsid w:val="001F7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FFD"/>
    <w:pPr>
      <w:spacing w:before="160"/>
      <w:jc w:val="center"/>
    </w:pPr>
    <w:rPr>
      <w:i/>
      <w:iCs/>
      <w:color w:val="404040" w:themeColor="text1" w:themeTint="BF"/>
    </w:rPr>
  </w:style>
  <w:style w:type="character" w:customStyle="1" w:styleId="QuoteChar">
    <w:name w:val="Quote Char"/>
    <w:basedOn w:val="DefaultParagraphFont"/>
    <w:link w:val="Quote"/>
    <w:uiPriority w:val="29"/>
    <w:rsid w:val="001F7FFD"/>
    <w:rPr>
      <w:i/>
      <w:iCs/>
      <w:color w:val="404040" w:themeColor="text1" w:themeTint="BF"/>
    </w:rPr>
  </w:style>
  <w:style w:type="paragraph" w:styleId="ListParagraph">
    <w:name w:val="List Paragraph"/>
    <w:basedOn w:val="Normal"/>
    <w:uiPriority w:val="34"/>
    <w:qFormat/>
    <w:rsid w:val="001F7FFD"/>
    <w:pPr>
      <w:ind w:left="720"/>
      <w:contextualSpacing/>
    </w:pPr>
  </w:style>
  <w:style w:type="character" w:styleId="IntenseEmphasis">
    <w:name w:val="Intense Emphasis"/>
    <w:basedOn w:val="DefaultParagraphFont"/>
    <w:uiPriority w:val="21"/>
    <w:qFormat/>
    <w:rsid w:val="001F7FFD"/>
    <w:rPr>
      <w:i/>
      <w:iCs/>
      <w:color w:val="0F4761" w:themeColor="accent1" w:themeShade="BF"/>
    </w:rPr>
  </w:style>
  <w:style w:type="paragraph" w:styleId="IntenseQuote">
    <w:name w:val="Intense Quote"/>
    <w:basedOn w:val="Normal"/>
    <w:next w:val="Normal"/>
    <w:link w:val="IntenseQuoteChar"/>
    <w:uiPriority w:val="30"/>
    <w:qFormat/>
    <w:rsid w:val="001F7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FD"/>
    <w:rPr>
      <w:i/>
      <w:iCs/>
      <w:color w:val="0F4761" w:themeColor="accent1" w:themeShade="BF"/>
    </w:rPr>
  </w:style>
  <w:style w:type="character" w:styleId="IntenseReference">
    <w:name w:val="Intense Reference"/>
    <w:basedOn w:val="DefaultParagraphFont"/>
    <w:uiPriority w:val="32"/>
    <w:qFormat/>
    <w:rsid w:val="001F7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 Luty</dc:creator>
  <cp:keywords/>
  <dc:description/>
  <cp:lastModifiedBy>Kostya Luty</cp:lastModifiedBy>
  <cp:revision>1</cp:revision>
  <dcterms:created xsi:type="dcterms:W3CDTF">2026-06-06T01:37:00Z</dcterms:created>
  <dcterms:modified xsi:type="dcterms:W3CDTF">2026-06-06T17:11:00Z</dcterms:modified>
</cp:coreProperties>
</file>