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Мер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218057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137377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212992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2458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79823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1578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81403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81384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1114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80266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Прізвище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Імя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 Батькові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які підтримали мера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1690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Лукашу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Богдан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1802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Олександр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70730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Анатолій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2092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</w:t>
            </w:r>
          </w:p>
        </w:tc>
        <w:tc>
          <w:tcPr>
            <w:tcW w:w="2000" w:type="dxa"/>
          </w:tcPr>
          <w:p>
            <w:pPr/>
            <w:r>
              <w:rPr/>
              <w:t xml:space="preserve">Інна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3967</w:t>
            </w:r>
          </w:p>
        </w:tc>
      </w:tr>
    </w:tbl>
    <w:p>
      <w:pPr/>
      <w:r>
        <w:rPr>
          <w:sz w:val="48"/>
          <w:szCs w:val="48"/>
        </w:rPr>
        <w:t xml:space="preserve">ВІДОМОСТІ, по мерам.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№Номер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Гончар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Лукашу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Симчишин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Собко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Ящук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681094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582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645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681480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591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35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681100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651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561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630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32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758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459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419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681449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49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681507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872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702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24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681490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609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681099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680257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681478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40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748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792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38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33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681563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776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51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681467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618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36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2021-02-25T12:24:31+00:00</dcterms:created>
  <dcterms:modified xsi:type="dcterms:W3CDTF">2021-02-25T12:24:31+00:00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