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“ВОРОНЕЖСКИЙ ГОСУДАРСТВЕННЫЙ УНИВЕРСИТЕТ”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компьютерных наук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практикуму «Технологии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Проектная документация к задаче «Учет успеваемости студентов»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Выполнили:</w:t>
        <w:br w:type="textWrapping"/>
        <w:t xml:space="preserve">Еремин И. А, Баженов В.С., Дуненбаев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Воронеж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современном мире образовательные учреждения часто сталкиваются с проблемой излишней бюрократизации и складирования ненужной документации. Это заметно сказывается на процессе обучения и эффективности работы сотрудников университета. </w:t>
      </w:r>
    </w:p>
    <w:p w:rsidR="00000000" w:rsidDel="00000000" w:rsidP="00000000" w:rsidRDefault="00000000" w:rsidRPr="00000000" w14:paraId="00000026">
      <w:pPr>
        <w:spacing w:after="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Поэтому целью нашей работы является создание такого сервиса, который позволит пользователю 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разработать приложение для учета успеваемости студентов.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Сфера использования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образовательный процесс университета.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</w:t>
        <w:tab/>
        <w:t xml:space="preserve">Регистрация и авторизация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</w:t>
        <w:tab/>
        <w:t xml:space="preserve">Возможность просмотра: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обычного пользователя – результатов аттестаций экзаменов, списков студентов, преподавателей и предм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администратора – всех таблиц и списков.</w:t>
      </w:r>
    </w:p>
    <w:p w:rsidR="00000000" w:rsidDel="00000000" w:rsidP="00000000" w:rsidRDefault="00000000" w:rsidRPr="00000000" w14:paraId="0000003A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</w:t>
        <w:tab/>
        <w:t xml:space="preserve">Возможность добавления, удаления, редактирование информации администратором.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</w:t>
        <w:tab/>
        <w:t xml:space="preserve">Возможность поиска информации об экзаменах, аттестациях, студентах, студенческих группах и преподавателях.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Провести анализ требований к разрабатываемой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Спроектировать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Реализовать приложение, удовлетворяющее указанным требованиям, и описать процесс разработки и итоговый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Анализ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факультете компьютерных наук Воронежского государственного университета 30.06.2014 приказом ректора было введено “Положение о текущей и промежуточной аттестации знаний, умений и навыков студентов в балльно-рейтинговой форме на факультете компьютерных наук воронежского государственного университета”.</w:t>
      </w:r>
    </w:p>
    <w:p w:rsidR="00000000" w:rsidDel="00000000" w:rsidP="00000000" w:rsidRDefault="00000000" w:rsidRPr="00000000" w14:paraId="00000043">
      <w:pPr>
        <w:pStyle w:val="Heading1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f7bvyh283o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Область применения.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Положения настоящего документа обязательны для научно-педагогических работников, ответственных за проведение учебных занятий по учебным дисциплинам, включенным в рабочие учебные планы по всем направлениям подготовки бакалавров, реализуемым на факультете компьютерных наук.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не распространяется на оценку всех видов практик, итоговой государственной аттестации и выполнения курсовых работ.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k01k2qo6qb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положения.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положение устанавливает требования к организации и проведению промежуточной аттестации знаний, умений и навыков студентов в форме балльно- рейтинговой системы оценки (БРС).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настоящего Положения за основу принята модель, реализуемая на факультете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балльно-рейтинговую систему оценки знаний, умений и навыков студентов направлен на осуществление непрерывного контроля за усвоением учебного материала, активизацию самостоятельной </w:t>
        <w:tab/>
        <w:tab/>
        <w:t xml:space="preserve">деятельности студентов, повышения ее эффективности.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Текущая аттестация успешности освоения студентом учебной дисциплины включает проведение рубежных (этапных) аттестаций по дисциплине и аттестацию по дисциплине за семестр. Каждый семестр делится на логически обусловленные этапы – рубежи, по завершению которых проводится рубежная оценка уровня знаний студента.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промежуточной аттестации по дисциплине за семестр является оценка, которая рассчитывается на основании оценок, полученных студентом в ходе рубежных аттестаций и оценки, полученной на экзамене (если по данной дисциплине предусмотрен экзамен в учебном плане).</w:t>
      </w:r>
    </w:p>
    <w:p w:rsidR="00000000" w:rsidDel="00000000" w:rsidP="00000000" w:rsidRDefault="00000000" w:rsidRPr="00000000" w14:paraId="0000004D">
      <w:pPr>
        <w:pStyle w:val="Heading1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0qh38ec3od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Проведение рубежной аттестации по дисциплине.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рабочей программой учебной дисциплины содержание дисциплины в пределах семестра делится на 3 логически законченных части, по итогам изучения которых проводится рубежная аттестация по каждому виду занятий отдельно в соответствии с видом отчетности, предусмотренным рабочим учебным планом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каждой дисциплине назначается ответственный по дисциплине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правило, лектор. В его обязанности входит: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 методики    оценивания  успешности освоения дисциплины  при проведении рубежных аттестаций;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контрольно-измерительных материалов для рубежных аттестаций и экзаменов;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доведение до сведения студентов особенностей применения БРС для данной дисциплины;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экзаменов и зачетов;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ведомостей, заполнение и своевременная сдача их в деканат.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Рубежные аттестации проводятся в часы текущих занятий по дисциплине согласно общему расписанию аудиторных занятий, при этом преподавателями проводятся все необходимые контрольно-измерительные мероприятия, необходимые для выставления оценки рубежной аттестации.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неявки студента на рубежную аттестацию по данной дисциплине ему выставляется 0 баллов.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Заполненная ведомость рубежной аттестации по учебной дисциплине сдается в деканат не позднее установленного срока, который доводится деканатом факультета до всех преподавателей до начала учебного семестра. Заполненная ведомость рубежной аттестации за третий этап сдается в деканат не позднее чем за 1 рабочий день до конца семестра.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Кафедра, отвечающая за дисциплину, утверждает содержание этапов и критерии оценки для рубежных аттестаций. Критерии оценки фиксируются в рабочей программе учебной дисциплины.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рубежных аттестаций по каждой дисциплине размещаются на образовательном сетевом ресурсе факультета.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оценке рубежной аттестации по дисциплине используется 50-балльная шкала оценки.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рубежных аттестаций рассчитывается рейтинговая оценка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студента по дисциплине за семестр. Расчет рейтинговой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производится следующим образом:</w:t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оценки студента на рубежных аттестациях,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трудоемкость этапов (сумма часов, отведенных на аудиторные занятия и самостоятельную работу студента),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рассчитывается по формуле: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b w:val="1"/>
            <w:sz w:val="36"/>
            <w:szCs w:val="36"/>
          </w:rPr>
          <m:t xml:space="preserve">A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неявки студента на рубежную аттестацию по уважительной причине (подтвержденной соответствующим документом) деканом факультета по соглашению с ответственным по дисциплине преподавателем разрешается проведение повторной рубежной аттестации до следующей рубежной аттестации в срок, назначаемый кафедрой.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неявки студента на рубежную аттестацию по неуважительной причине проведение повторной рубежной аттестации </w:t>
        <w:tab/>
        <w:tab/>
        <w:t xml:space="preserve">не допускается независимо от вида отчетности по дисциплине в рабочем учебном плане.</w:t>
      </w:r>
    </w:p>
    <w:p w:rsidR="00000000" w:rsidDel="00000000" w:rsidP="00000000" w:rsidRDefault="00000000" w:rsidRPr="00000000" w14:paraId="00000060">
      <w:pPr>
        <w:pStyle w:val="Heading1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oszhaneyx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Аттестация по дисциплине за семестр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учебного семестра деканат обрабатывает итоги рубежных аттестаций по всем дисциплинам, предусмотренным рабочим учебным планом.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результат рубежных аттестаций по дисциплине за семестр — рейтинговая оценка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рассчитывается по 50-балльной шкале (максимальная оценка – 50 баллов) и объявляется студентам. В таблице 1 приведены оценки рубежной аттестации по 50-балльной шкале и эквивалентные им по 5-балльной шкале.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86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7.5"/>
        <w:gridCol w:w="4317.5"/>
        <w:tblGridChange w:id="0">
          <w:tblGrid>
            <w:gridCol w:w="4317.5"/>
            <w:gridCol w:w="431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по 50-балльной шкале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по 5-балльной шкале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 и более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Отлично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Удовлетворительно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 за семестр рассчитывается с учетом видов отчетности, установленных рабочим учебным планом (зачет, зачет с оценкой, экзамен).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дисциплине за 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пересчетом суммарной 100-балльной оценки в 5-балльную в соответствии с таблицей 2.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tbl>
      <w:tblPr>
        <w:tblStyle w:val="Table2"/>
        <w:tblW w:w="86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7.5"/>
        <w:gridCol w:w="4317.5"/>
        <w:tblGridChange w:id="0">
          <w:tblGrid>
            <w:gridCol w:w="4317.5"/>
            <w:gridCol w:w="431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по 100-балльной шкале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по 5-балльной шкале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 и более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Отлично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Удовлетворительно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b2uoz2ehkno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Аттестация по дисциплине с формой отчетности «зачет»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по итогам семестра из трех оценок за рубежные аттестации хотя бы одна из них меньше 25 баллов, преподаватель выставляет в аттестационную ведомость оценку «незачтено» (если предусмотрен простой зачет) или оценку «неудовлетворительно» (если предусмотрен зачет с оценкой). В зачетную книжку она не записывается.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по итогам учебного семестра оценки по всем трем рубежным аттестациям не меньше 25 баллов, преподаватель выставляет в аттестационную ведомость и в зачетную книжку оценку «зачтено» (если предусмотрен простой зачет)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в рабочем учебном плане по дисциплине предусмотрен в качестве формы отчетности «зачет с оценкой», и оценки по всем трем рубежным аттестациям не меньше 25 баллов, преподаватель выставляет в аттестационную ведомость и в зачетную книжку оценку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текущих занятий преподаватель к итоговой оценке по дисциплине (в случае зачета с оценкой) может добавить дополнительно до 10 баллов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 получивший рубежные оценки «неудовлетворительно» на любой из двух первых аттестаций, может пройти повторную рубежную аттестацию в согласованные с ответственным за дисциплину преподавателем сроки. Для проведения повторных рубежных аттестаций выделяются три рабочих дня в конце учебного семестра (в соответствии с графиком учебного процесса) для проведения повторных рубежных аттестаций. Не позднее чем за 2 недели до конца семестра преподаватель, ответственный по дисциплине, должен согласовать с заместителем декана по учебной работе конкретные сроки проведения передач по дисциплине. Расписание пересдач вывешивается деканатом за неделю до конца семестра. Заполненная ведомость с результатами пересдач сдается в деканат не позднее конца семестра.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повторное проведение рубежной аттестации с целью получения более высокой оценки (кроме случаев, предусмотренных в п. 2). </w:t>
      </w:r>
    </w:p>
    <w:p w:rsidR="00000000" w:rsidDel="00000000" w:rsidP="00000000" w:rsidRDefault="00000000" w:rsidRPr="00000000" w14:paraId="00000084">
      <w:pPr>
        <w:pStyle w:val="Heading1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k1wh3eg9u6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Аттестация по дисциплине с формой отчетности «экзамен»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студенты обязаны сдавать экзамен во время экзаменационной сессии в сроки, установленные согласно учебному плану. При этом результат аттестации по дисциплине за семестр рассчитывается как сумма рейтинговой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полученной студентом на экзамене. Максимальная оценка, которую можно получить на экзамене – 50 баллов. Итоговая оценка по дисциплине за семестр рассчитываются по 100-балльной шкале, а соответствующая ей семестровая оценка представляется по 5-балльной шкале и выставляется студенту в зачетную книжку.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экзамена преподаватель к итоговой оценке по дисциплине может добавить дополнительно до 10 баллов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дисциплине за семестр S выводится пересчетом суммарной 100-балльной оценки с учетом возможной дополнительной добавки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10 баллов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S=А+Э+Д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5-балльную в соответствии с таблицей 2.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S выставляется в экзаменационную ведомость и зачетную книжку студента: оценки «отлично», «хорошо», «удовлетворительно» преподаватель выставляет в аттестационную ведомость и в зачетную книжку оценку; оценка «неудовлетворительно» выставляется только в аттестационную ведомость.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Студенты, не выполнившие все лабораторные (практические) задания по дисциплине до конца семестра, по усмотрению экзаменатора могут быть допущены к экзамену при условии сдачи невыполненных заданий на экзамене.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 по дисциплине проводится в сроки проведения экзаменационной сессии, которые утверждаются приказом ректора, по расписанию, утвержденному деканом факультета.</w:t>
      </w:r>
    </w:p>
    <w:p w:rsidR="00000000" w:rsidDel="00000000" w:rsidP="00000000" w:rsidRDefault="00000000" w:rsidRPr="00000000" w14:paraId="0000008B">
      <w:pPr>
        <w:pStyle w:val="Heading1"/>
        <w:spacing w:after="24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8lfpc28jm0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Дополнительно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Предусмотрена повторная аттестация (зачёт, экзамен) в следующем семестре, в случае получения неудовлетворительной оцнки. При этом положения БРС не применяются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Диаграммы, используемые в данном проекте: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8086442"/>
            <wp:effectExtent b="0" l="0" r="0" t="0"/>
            <wp:docPr descr="class_diagram_eia" id="7" name="image6.jpg"/>
            <a:graphic>
              <a:graphicData uri="http://schemas.openxmlformats.org/drawingml/2006/picture">
                <pic:pic>
                  <pic:nvPicPr>
                    <pic:cNvPr descr="class_diagram_eia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42130" cy="6743796"/>
            <wp:effectExtent b="0" l="0" r="0" t="0"/>
            <wp:docPr descr="C:\Users\Ilya\Desktop\Active_Diagram.jpg" id="9" name="image7.jpg"/>
            <a:graphic>
              <a:graphicData uri="http://schemas.openxmlformats.org/drawingml/2006/picture">
                <pic:pic>
                  <pic:nvPicPr>
                    <pic:cNvPr descr="C:\Users\Ilya\Desktop\Active_Diagram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130" cy="674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Диаграмма последовательности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4803578"/>
            <wp:effectExtent b="0" l="0" r="0" t="0"/>
            <wp:docPr descr="Sequence" id="8" name="image5.jpg"/>
            <a:graphic>
              <a:graphicData uri="http://schemas.openxmlformats.org/drawingml/2006/picture">
                <pic:pic>
                  <pic:nvPicPr>
                    <pic:cNvPr descr="Sequence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Case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5984875"/>
            <wp:effectExtent b="0" l="0" r="0" t="0"/>
            <wp:docPr descr="C:\Users\Артём\Desktop\ТП\Use cases.jpg" id="11" name="image3.jpg"/>
            <a:graphic>
              <a:graphicData uri="http://schemas.openxmlformats.org/drawingml/2006/picture">
                <pic:pic>
                  <pic:nvPicPr>
                    <pic:cNvPr descr="C:\Users\Артём\Desktop\ТП\Use cases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 Machine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8915" cy="2897658"/>
            <wp:effectExtent b="0" l="0" r="0" t="0"/>
            <wp:docPr descr="C:\Users\Артём\Desktop\ТП\State Machine.jpg" id="10" name="image12.jpg"/>
            <a:graphic>
              <a:graphicData uri="http://schemas.openxmlformats.org/drawingml/2006/picture">
                <pic:pic>
                  <pic:nvPicPr>
                    <pic:cNvPr descr="C:\Users\Артём\Desktop\ТП\State Machine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915" cy="289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2965" cy="825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IDEF0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892223"/>
            <wp:effectExtent b="0" l="0" r="0" t="0"/>
            <wp:docPr descr="C:\Users\Артём\Desktop\ТП\IDEF0-Page-1.jpg" id="12" name="image2.jpg"/>
            <a:graphic>
              <a:graphicData uri="http://schemas.openxmlformats.org/drawingml/2006/picture">
                <pic:pic>
                  <pic:nvPicPr>
                    <pic:cNvPr descr="C:\Users\Артём\Desktop\ТП\IDEF0-Page-1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985260"/>
            <wp:effectExtent b="0" l="0" r="0" t="0"/>
            <wp:docPr descr="C:\Users\Артём\Desktop\ТП\IDEF0-A0.jpg" id="14" name="image8.jpg"/>
            <a:graphic>
              <a:graphicData uri="http://schemas.openxmlformats.org/drawingml/2006/picture">
                <pic:pic>
                  <pic:nvPicPr>
                    <pic:cNvPr descr="C:\Users\Артём\Desktop\ТП\IDEF0-A0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2965" cy="4991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Общая функциональная схема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7219950"/>
            <wp:effectExtent b="0" l="0" r="0" t="0"/>
            <wp:docPr descr="Учет успеваемости студентов(2)" id="13" name="image11.jpg"/>
            <a:graphic>
              <a:graphicData uri="http://schemas.openxmlformats.org/drawingml/2006/picture">
                <pic:pic>
                  <pic:nvPicPr>
                    <pic:cNvPr descr="Учет успеваемости студентов(2)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7226300</wp:posOffset>
                </wp:positionV>
                <wp:extent cx="266700" cy="36766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1946438"/>
                          <a:ext cx="257175" cy="3667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7226300</wp:posOffset>
                </wp:positionV>
                <wp:extent cx="266700" cy="367665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67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120" w:before="400" w:line="240" w:lineRule="auto"/>
        <w:ind w:left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5050" cy="3171825"/>
            <wp:effectExtent b="0" l="0" r="0" t="0"/>
            <wp:docPr descr="Учет успеваемости студентов(3)" id="16" name="image9.jpg"/>
            <a:graphic>
              <a:graphicData uri="http://schemas.openxmlformats.org/drawingml/2006/picture">
                <pic:pic>
                  <pic:nvPicPr>
                    <pic:cNvPr descr="Учет успеваемости студентов(3)"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-711199</wp:posOffset>
                </wp:positionV>
                <wp:extent cx="57150" cy="847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2188" y="3360900"/>
                          <a:ext cx="47625" cy="838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-711199</wp:posOffset>
                </wp:positionV>
                <wp:extent cx="57150" cy="847725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3098800</wp:posOffset>
                </wp:positionV>
                <wp:extent cx="12700" cy="457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3098800</wp:posOffset>
                </wp:positionV>
                <wp:extent cx="12700" cy="457200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2625" cy="1171575"/>
            <wp:effectExtent b="0" l="0" r="0" t="0"/>
            <wp:docPr descr="Учет успеваемости студентов(4)" id="15" name="image4.jpg"/>
            <a:graphic>
              <a:graphicData uri="http://schemas.openxmlformats.org/drawingml/2006/picture">
                <pic:pic>
                  <pic:nvPicPr>
                    <pic:cNvPr descr="Учет успеваемости студентов(4)" id="0" name="image4.jpg"/>
                    <pic:cNvPicPr preferRelativeResize="0"/>
                  </pic:nvPicPr>
                  <pic:blipFill>
                    <a:blip r:embed="rId20"/>
                    <a:srcRect b="0" l="0" r="0" t="4966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279400</wp:posOffset>
                </wp:positionV>
                <wp:extent cx="12700" cy="438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0925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279400</wp:posOffset>
                </wp:positionV>
                <wp:extent cx="12700" cy="43815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ГЛАВА 1. НАЗВАНИЕ</w:t>
      </w:r>
    </w:p>
    <w:p w:rsidR="00000000" w:rsidDel="00000000" w:rsidP="00000000" w:rsidRDefault="00000000" w:rsidRPr="00000000" w14:paraId="000000AE">
      <w:pPr>
        <w:spacing w:after="120" w:before="4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«Учет успеваемости студентов» - название данного проекта.</w:t>
      </w:r>
    </w:p>
    <w:p w:rsidR="00000000" w:rsidDel="00000000" w:rsidP="00000000" w:rsidRDefault="00000000" w:rsidRPr="00000000" w14:paraId="000000AF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2et92p0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12.jpg"/><Relationship Id="rId21" Type="http://schemas.openxmlformats.org/officeDocument/2006/relationships/image" Target="media/image14.pn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1.jpg"/><Relationship Id="rId14" Type="http://schemas.openxmlformats.org/officeDocument/2006/relationships/image" Target="media/image10.png"/><Relationship Id="rId17" Type="http://schemas.openxmlformats.org/officeDocument/2006/relationships/image" Target="media/image9.jp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6.jpg"/><Relationship Id="rId18" Type="http://schemas.openxmlformats.org/officeDocument/2006/relationships/image" Target="media/image15.pn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