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ind w:left="0" w:firstLine="0"/>
        <w:rPr/>
      </w:pPr>
      <w:bookmarkStart w:colFirst="0" w:colLast="0" w:name="_1ltz25xu7750" w:id="0"/>
      <w:bookmarkEnd w:id="0"/>
      <w:r w:rsidDel="00000000" w:rsidR="00000000" w:rsidRPr="00000000">
        <w:rPr>
          <w:rtl w:val="0"/>
        </w:rPr>
        <w:t xml:space="preserve">Non-Fungible Token </w:t>
      </w:r>
      <w:r w:rsidDel="00000000" w:rsidR="00000000" w:rsidRPr="00000000">
        <w:rPr>
          <w:rtl w:val="0"/>
        </w:rPr>
        <w:t xml:space="preserve">megvalósítása Solidity nyelven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megoldásunk, illetve a pontos feladatkiírás megtekinthető az alábbi linken: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https://github.com/KostyalBalint/Nft-Solidity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gglwno2wgv1" w:id="1"/>
      <w:bookmarkEnd w:id="1"/>
      <w:r w:rsidDel="00000000" w:rsidR="00000000" w:rsidRPr="00000000">
        <w:rPr>
          <w:rtl w:val="0"/>
        </w:rPr>
        <w:t xml:space="preserve">Környezet</w:t>
      </w:r>
    </w:p>
    <w:p w:rsidR="00000000" w:rsidDel="00000000" w:rsidP="00000000" w:rsidRDefault="00000000" w:rsidRPr="00000000" w14:paraId="00000005">
      <w:pPr>
        <w:ind w:left="283.46456692913375" w:firstLine="0"/>
        <w:rPr/>
      </w:pPr>
      <w:r w:rsidDel="00000000" w:rsidR="00000000" w:rsidRPr="00000000">
        <w:rPr>
          <w:i w:val="1"/>
          <w:rtl w:val="0"/>
        </w:rPr>
        <w:t xml:space="preserve">Visual Studio</w:t>
      </w:r>
      <w:r w:rsidDel="00000000" w:rsidR="00000000" w:rsidRPr="00000000">
        <w:rPr>
          <w:rtl w:val="0"/>
        </w:rPr>
        <w:t xml:space="preserve"> fejlesztőkörnyezetében, a telepített </w:t>
      </w:r>
      <w:r w:rsidDel="00000000" w:rsidR="00000000" w:rsidRPr="00000000">
        <w:rPr>
          <w:i w:val="1"/>
          <w:rtl w:val="0"/>
        </w:rPr>
        <w:t xml:space="preserve">Solidity</w:t>
      </w:r>
      <w:r w:rsidDel="00000000" w:rsidR="00000000" w:rsidRPr="00000000">
        <w:rPr>
          <w:rtl w:val="0"/>
        </w:rPr>
        <w:t xml:space="preserve"> pluginnal dolgoztunk a munkafolyamat során.</w:t>
      </w:r>
    </w:p>
    <w:p w:rsidR="00000000" w:rsidDel="00000000" w:rsidP="00000000" w:rsidRDefault="00000000" w:rsidRPr="00000000" w14:paraId="0000000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A projekt futtatásához és teszteléséhez a Github-on található pontosított leírás.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j336t8qdzxi3" w:id="2"/>
      <w:bookmarkEnd w:id="2"/>
      <w:r w:rsidDel="00000000" w:rsidR="00000000" w:rsidRPr="00000000">
        <w:rPr>
          <w:rtl w:val="0"/>
        </w:rPr>
        <w:t xml:space="preserve">Működési elv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token egy okos szerződésből áll, melynek alapját az </w:t>
      </w:r>
      <w:r w:rsidDel="00000000" w:rsidR="00000000" w:rsidRPr="00000000">
        <w:rPr>
          <w:i w:val="1"/>
          <w:color w:val="ff8c69"/>
          <w:rtl w:val="0"/>
        </w:rPr>
        <w:t xml:space="preserve">Openzeppelin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könyvtár adja. Így elegendő csak a számunkra fontos függvényeket implementálni. Ilyen módon használjuk az </w:t>
      </w:r>
      <w:r w:rsidDel="00000000" w:rsidR="00000000" w:rsidRPr="00000000">
        <w:rPr>
          <w:b w:val="1"/>
          <w:rtl w:val="0"/>
        </w:rPr>
        <w:t xml:space="preserve">ERC-721</w:t>
      </w:r>
      <w:r w:rsidDel="00000000" w:rsidR="00000000" w:rsidRPr="00000000">
        <w:rPr>
          <w:rtl w:val="0"/>
        </w:rPr>
        <w:t xml:space="preserve"> szabvány funkcióit.</w:t>
      </w:r>
    </w:p>
    <w:p w:rsidR="00000000" w:rsidDel="00000000" w:rsidP="00000000" w:rsidRDefault="00000000" w:rsidRPr="00000000" w14:paraId="0000000A">
      <w:pPr>
        <w:pStyle w:val="Heading2"/>
        <w:ind w:left="283.46456692913375" w:firstLine="0"/>
        <w:rPr>
          <w:color w:val="ff8c69"/>
        </w:rPr>
      </w:pPr>
      <w:bookmarkStart w:colFirst="0" w:colLast="0" w:name="_sfqf717almq0" w:id="3"/>
      <w:bookmarkEnd w:id="3"/>
      <w:r w:rsidDel="00000000" w:rsidR="00000000" w:rsidRPr="00000000">
        <w:rPr>
          <w:rtl w:val="0"/>
        </w:rPr>
        <w:t xml:space="preserve">Token létrehozása - minting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token-t bárki a hálózaton tudja mint-elni megfelelő mennyiségű (0.01) Ether befizetésével. Ilyenkor szükséges megadni egy URL-t ami az Nft-hez tartozó képre mutat. Jelen megoldás szerint nem lehet két egyforma url-t mint-elni.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Egy-egy tokneről le lehet kérdezni a hozzá tartozó URL-t, és mivel ez csak egy lekérdező függvény, így Gas-t sem kell fizetni a futtatásáért.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ftejxj7f98o" w:id="4"/>
      <w:bookmarkEnd w:id="4"/>
      <w:r w:rsidDel="00000000" w:rsidR="00000000" w:rsidRPr="00000000">
        <w:rPr>
          <w:rtl w:val="0"/>
        </w:rPr>
        <w:t xml:space="preserve">Token mozgatása - transfer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token tulajdonosa bármikor átadhatja a token birtoklásának jogát egy másik felhasználónak. Ehhez csupán a tranzakciós díjat kell megfizetni. Ez a metódus egy ajándékozásnak felel meg és a kapó félnek semmilyen fizetési kötelezettsége nincsen. 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tjh5jc6nsgm" w:id="5"/>
      <w:bookmarkEnd w:id="5"/>
      <w:r w:rsidDel="00000000" w:rsidR="00000000" w:rsidRPr="00000000">
        <w:rPr>
          <w:rtl w:val="0"/>
        </w:rPr>
        <w:t xml:space="preserve">Token adásvétele - buy and sale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Az eladni kívánt tokent a tulajdonosa a </w:t>
      </w:r>
      <w:r w:rsidDel="00000000" w:rsidR="00000000" w:rsidRPr="00000000">
        <w:rPr>
          <w:i w:val="1"/>
          <w:color w:val="ff8c69"/>
          <w:rtl w:val="0"/>
        </w:rPr>
        <w:t xml:space="preserve">setForSale()</w:t>
      </w:r>
      <w:r w:rsidDel="00000000" w:rsidR="00000000" w:rsidRPr="00000000">
        <w:rPr>
          <w:rtl w:val="0"/>
        </w:rPr>
        <w:t xml:space="preserve"> függvény segítségével  tudja megvásárolhatóvá tenni, az ár megadásával. A </w:t>
      </w:r>
      <w:r w:rsidDel="00000000" w:rsidR="00000000" w:rsidRPr="00000000">
        <w:rPr>
          <w:i w:val="1"/>
          <w:color w:val="ff8c69"/>
          <w:rtl w:val="0"/>
        </w:rPr>
        <w:t xml:space="preserve">removeFromSale() </w:t>
      </w:r>
      <w:r w:rsidDel="00000000" w:rsidR="00000000" w:rsidRPr="00000000">
        <w:rPr>
          <w:rtl w:val="0"/>
        </w:rPr>
        <w:t xml:space="preserve">használatával pedig visszavonhatja eladási szándékát.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Adott tokenhez minden esetben tartozik eladási ár. Amennyiben ez az ár 0, az egyenértékű azzal, hogy a token nem valójában nem eladó. Ebből következik, hogy ingyenes tokent nem létezik.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Adott token árát  a </w:t>
      </w:r>
      <w:r w:rsidDel="00000000" w:rsidR="00000000" w:rsidRPr="00000000">
        <w:rPr>
          <w:i w:val="1"/>
          <w:color w:val="ff8c69"/>
          <w:rtl w:val="0"/>
        </w:rPr>
        <w:t xml:space="preserve">getTokenPrice()</w:t>
      </w:r>
      <w:r w:rsidDel="00000000" w:rsidR="00000000" w:rsidRPr="00000000">
        <w:rPr>
          <w:rtl w:val="0"/>
        </w:rPr>
        <w:t xml:space="preserve"> segítségével lehet megtudni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tokent vásárolni kívánó felhasználó az előzőekben az eladó által megjelölt összegért megveheti a tokent, melyhez rendelkezésére áll a </w:t>
      </w:r>
      <w:r w:rsidDel="00000000" w:rsidR="00000000" w:rsidRPr="00000000">
        <w:rPr>
          <w:i w:val="1"/>
          <w:color w:val="ff8c69"/>
          <w:rtl w:val="0"/>
        </w:rPr>
        <w:t xml:space="preserve">buy() </w:t>
      </w:r>
      <w:r w:rsidDel="00000000" w:rsidR="00000000" w:rsidRPr="00000000">
        <w:rPr>
          <w:rtl w:val="0"/>
        </w:rPr>
        <w:t xml:space="preserve">funkció. Ebben az esetben az eladó félnek utal a kép árával megegyező mennyiségű ethert, majd ő lesz a vagyontárgy birtokosa.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gokwwn1s7td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gokwwn1s7td" w:id="6"/>
      <w:bookmarkEnd w:id="6"/>
      <w:r w:rsidDel="00000000" w:rsidR="00000000" w:rsidRPr="00000000">
        <w:rPr>
          <w:rtl w:val="0"/>
        </w:rPr>
        <w:t xml:space="preserve">Tesztelés Truffle segítségével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Token fő funkcióinak tesztelését Truffle segítségével végezzük.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tesztelés és fejlesztés a  </w:t>
      </w:r>
      <w:r w:rsidDel="00000000" w:rsidR="00000000" w:rsidRPr="00000000">
        <w:rPr>
          <w:rtl w:val="0"/>
        </w:rPr>
        <w:t xml:space="preserve">Ganache applikáció által biztosított </w:t>
      </w:r>
      <w:r w:rsidDel="00000000" w:rsidR="00000000" w:rsidRPr="00000000">
        <w:rPr>
          <w:rtl w:val="0"/>
        </w:rPr>
        <w:t xml:space="preserve">teszthálózaton</w:t>
      </w:r>
      <w:r w:rsidDel="00000000" w:rsidR="00000000" w:rsidRPr="00000000">
        <w:rPr>
          <w:rtl w:val="0"/>
        </w:rPr>
        <w:t xml:space="preserve"> történt.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teszetek futtathatók az </w:t>
      </w:r>
      <w:r w:rsidDel="00000000" w:rsidR="00000000" w:rsidRPr="00000000">
        <w:rPr>
          <w:i w:val="1"/>
          <w:color w:val="ff8c69"/>
          <w:rtl w:val="0"/>
        </w:rPr>
        <w:t xml:space="preserve">npm test </w:t>
      </w:r>
      <w:r w:rsidDel="00000000" w:rsidR="00000000" w:rsidRPr="00000000">
        <w:rPr>
          <w:rtl w:val="0"/>
        </w:rPr>
        <w:t xml:space="preserve">paranccsal.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ji7ebwu5asg" w:id="7"/>
      <w:bookmarkEnd w:id="7"/>
      <w:r w:rsidDel="00000000" w:rsidR="00000000" w:rsidRPr="00000000">
        <w:rPr>
          <w:rtl w:val="0"/>
        </w:rPr>
        <w:t xml:space="preserve">Futtatott tesztek: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403388</wp:posOffset>
            </wp:positionH>
            <wp:positionV relativeFrom="paragraph">
              <wp:posOffset>619125</wp:posOffset>
            </wp:positionV>
            <wp:extent cx="4924425" cy="2933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1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-283.46456692913375" w:hanging="705"/>
      <w:rPr>
        <w:color w:val="ff8c69"/>
        <w:sz w:val="24"/>
        <w:szCs w:val="24"/>
      </w:rPr>
    </w:pPr>
    <w:r w:rsidDel="00000000" w:rsidR="00000000" w:rsidRPr="00000000">
      <w:rPr>
        <w:color w:val="ff8c69"/>
        <w:sz w:val="24"/>
        <w:szCs w:val="24"/>
        <w:rtl w:val="0"/>
      </w:rPr>
      <w:t xml:space="preserve">Blockchain technológiák és alkalmazások 2020/2021/2</w:t>
    </w:r>
  </w:p>
  <w:p w:rsidR="00000000" w:rsidDel="00000000" w:rsidP="00000000" w:rsidRDefault="00000000" w:rsidRPr="00000000" w14:paraId="0000001D">
    <w:pPr>
      <w:ind w:right="-749.5275590551165"/>
      <w:jc w:val="right"/>
      <w:rPr>
        <w:color w:val="ff8c69"/>
        <w:sz w:val="24"/>
        <w:szCs w:val="24"/>
      </w:rPr>
    </w:pPr>
    <w:r w:rsidDel="00000000" w:rsidR="00000000" w:rsidRPr="00000000">
      <w:rPr>
        <w:color w:val="ff8c69"/>
        <w:sz w:val="24"/>
        <w:szCs w:val="24"/>
        <w:rtl w:val="0"/>
      </w:rPr>
      <w:t xml:space="preserve">Kende Zoltán - HBA16N</w:t>
    </w:r>
  </w:p>
  <w:p w:rsidR="00000000" w:rsidDel="00000000" w:rsidP="00000000" w:rsidRDefault="00000000" w:rsidRPr="00000000" w14:paraId="0000001E">
    <w:pPr>
      <w:ind w:right="-749.5275590551165"/>
      <w:jc w:val="right"/>
      <w:rPr>
        <w:color w:val="ff8c69"/>
        <w:sz w:val="24"/>
        <w:szCs w:val="24"/>
      </w:rPr>
    </w:pPr>
    <w:r w:rsidDel="00000000" w:rsidR="00000000" w:rsidRPr="00000000">
      <w:rPr>
        <w:color w:val="ff8c69"/>
        <w:sz w:val="24"/>
        <w:szCs w:val="24"/>
        <w:rtl w:val="0"/>
      </w:rPr>
      <w:t xml:space="preserve">Kostyál Bálint - OG5569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hu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83.464566929133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color w:val="ff966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ff8c6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ff8c69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ostyalBalint/Nft-Solidity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