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r>
              <w:rPr>
                <w:rFonts w:ascii="黑体" w:eastAsia="黑体" w:hint="eastAsia"/>
                <w:sz w:val="32"/>
                <w:szCs w:val="32"/>
              </w:rPr>
              <w:lastRenderedPageBreak/>
              <w:t>一</w:t>
            </w:r>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1324DD" w:rsidRPr="001324DD" w:rsidRDefault="001324DD" w:rsidP="001324DD">
            <w:pPr>
              <w:ind w:firstLineChars="50" w:firstLine="105"/>
            </w:pP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lastRenderedPageBreak/>
              <w:t xml:space="preserve">四  </w:t>
            </w:r>
            <w:r w:rsidR="004074D8" w:rsidRPr="001324DD">
              <w:rPr>
                <w:rFonts w:ascii="黑体" w:eastAsia="黑体" w:hAnsi="Calibri" w:hint="eastAsia"/>
                <w:b/>
                <w:sz w:val="30"/>
                <w:szCs w:val="30"/>
              </w:rPr>
              <w:t>毕业要求达成度分析</w:t>
            </w:r>
          </w:p>
          <w:tbl>
            <w:tblPr>
              <w:tblStyle w:val="a6"/>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lastRenderedPageBreak/>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w:t>
                  </w:r>
                  <w:r w:rsidRPr="006F02C4">
                    <w:rPr>
                      <w:color w:val="000000" w:themeColor="text1"/>
                      <w:sz w:val="24"/>
                    </w:rPr>
                    <w:lastRenderedPageBreak/>
                    <w:t>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lastRenderedPageBreak/>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w:t>
                  </w:r>
                  <w:r w:rsidRPr="006F02C4">
                    <w:rPr>
                      <w:color w:val="000000" w:themeColor="text1"/>
                      <w:sz w:val="24"/>
                    </w:rPr>
                    <w:lastRenderedPageBreak/>
                    <w:t>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Pr>
              <w:rPr>
                <w:rFonts w:hint="eastAsia"/>
              </w:rPr>
            </w:pPr>
            <w:bookmarkStart w:id="0" w:name="_GoBack"/>
            <w:bookmarkEnd w:id="0"/>
          </w:p>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7"/>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由实习学生填写本表后，交指导教师验收审核，最后交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B3" w:rsidRDefault="003C2CB3">
      <w:r>
        <w:separator/>
      </w:r>
    </w:p>
  </w:endnote>
  <w:endnote w:type="continuationSeparator" w:id="0">
    <w:p w:rsidR="003C2CB3" w:rsidRDefault="003C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630FD7">
    <w:pPr>
      <w:pStyle w:val="a5"/>
      <w:jc w:val="center"/>
      <w:rPr>
        <w:sz w:val="21"/>
        <w:szCs w:val="21"/>
      </w:rPr>
    </w:pPr>
    <w:r>
      <w:rPr>
        <w:sz w:val="21"/>
        <w:szCs w:val="21"/>
      </w:rPr>
      <w:fldChar w:fldCharType="begin"/>
    </w:r>
    <w:r w:rsidR="002600CE">
      <w:rPr>
        <w:rStyle w:val="a4"/>
        <w:sz w:val="21"/>
        <w:szCs w:val="21"/>
      </w:rPr>
      <w:instrText xml:space="preserve"> PAGE </w:instrText>
    </w:r>
    <w:r>
      <w:rPr>
        <w:sz w:val="21"/>
        <w:szCs w:val="21"/>
      </w:rPr>
      <w:fldChar w:fldCharType="separate"/>
    </w:r>
    <w:r w:rsidR="002600CE">
      <w:rPr>
        <w:rStyle w:val="a4"/>
        <w:noProof/>
        <w:sz w:val="21"/>
        <w:szCs w:val="21"/>
      </w:rPr>
      <w:t>66</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B3" w:rsidRDefault="003C2CB3">
      <w:r>
        <w:separator/>
      </w:r>
    </w:p>
  </w:footnote>
  <w:footnote w:type="continuationSeparator" w:id="0">
    <w:p w:rsidR="003C2CB3" w:rsidRDefault="003C2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2600CE">
    <w:pPr>
      <w:pStyle w:val="a3"/>
      <w:rPr>
        <w:sz w:val="21"/>
        <w:szCs w:val="21"/>
      </w:rPr>
    </w:pPr>
    <w:r>
      <w:rPr>
        <w:rFonts w:hint="eastAsia"/>
        <w:sz w:val="21"/>
        <w:szCs w:val="21"/>
      </w:rPr>
      <w:t>实习实训基本文件规范：实习报告模板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43DBA"/>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C92"/>
    <w:rsid w:val="00F50061"/>
    <w:rsid w:val="00F53F27"/>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Char"/>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2F25F4"/>
    <w:rPr>
      <w:rFonts w:eastAsia="宋体"/>
      <w:kern w:val="2"/>
      <w:sz w:val="18"/>
      <w:szCs w:val="18"/>
      <w:lang w:val="en-US" w:eastAsia="zh-CN" w:bidi="ar-SA"/>
    </w:rPr>
  </w:style>
  <w:style w:type="character" w:styleId="a4">
    <w:name w:val="page number"/>
    <w:basedOn w:val="a0"/>
    <w:rsid w:val="002F25F4"/>
  </w:style>
  <w:style w:type="character" w:customStyle="1" w:styleId="1Char">
    <w:name w:val="标题 1 Char"/>
    <w:link w:val="1"/>
    <w:rsid w:val="002F25F4"/>
    <w:rPr>
      <w:rFonts w:eastAsia="黑体"/>
      <w:b/>
      <w:color w:val="000000"/>
      <w:kern w:val="2"/>
      <w:sz w:val="36"/>
      <w:szCs w:val="24"/>
      <w:u w:color="000000"/>
      <w:lang w:val="en-US" w:eastAsia="zh-CN" w:bidi="ar-SA"/>
    </w:rPr>
  </w:style>
  <w:style w:type="character" w:customStyle="1" w:styleId="Char0">
    <w:name w:val="页脚 Char"/>
    <w:link w:val="a5"/>
    <w:rsid w:val="002F25F4"/>
    <w:rPr>
      <w:rFonts w:eastAsia="宋体"/>
      <w:kern w:val="2"/>
      <w:sz w:val="18"/>
      <w:szCs w:val="18"/>
      <w:lang w:val="en-US" w:eastAsia="zh-CN" w:bidi="ar-SA"/>
    </w:rPr>
  </w:style>
  <w:style w:type="paragraph" w:styleId="a5">
    <w:name w:val="footer"/>
    <w:basedOn w:val="a"/>
    <w:link w:val="Char0"/>
    <w:rsid w:val="002F25F4"/>
    <w:pPr>
      <w:tabs>
        <w:tab w:val="center" w:pos="4153"/>
        <w:tab w:val="right" w:pos="8306"/>
      </w:tabs>
      <w:snapToGrid w:val="0"/>
      <w:jc w:val="left"/>
    </w:pPr>
    <w:rPr>
      <w:sz w:val="18"/>
      <w:szCs w:val="18"/>
    </w:rPr>
  </w:style>
  <w:style w:type="paragraph" w:styleId="a3">
    <w:name w:val="header"/>
    <w:basedOn w:val="a"/>
    <w:link w:val="Char"/>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6">
    <w:name w:val="Table Grid"/>
    <w:basedOn w:val="a1"/>
    <w:rsid w:val="00631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606A5B-3EBE-48D4-800D-B8B56CAF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355</Words>
  <Characters>2027</Characters>
  <Application>Microsoft Office Word</Application>
  <DocSecurity>0</DocSecurity>
  <Lines>16</Lines>
  <Paragraphs>4</Paragraphs>
  <ScaleCrop>false</ScaleCrop>
  <Company>番茄花园</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y</cp:lastModifiedBy>
  <cp:revision>3</cp:revision>
  <dcterms:created xsi:type="dcterms:W3CDTF">2017-08-28T04:03:00Z</dcterms:created>
  <dcterms:modified xsi:type="dcterms:W3CDTF">2017-09-16T03:16:00Z</dcterms:modified>
</cp:coreProperties>
</file>