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25"/>
        </w:rPr>
        <w:t>c = a + b</w:t>
      </w:r>
    </w:p>
    <w:p>
      <w:pPr>
        <w:spacing w:after="40"/>
        <w:jc w:val="center"/>
      </w:pPr>
      <w:r>
        <w:rPr>
          <w:rFonts w:ascii="Calibri" w:hAnsi="Calibri"/>
          <w:b/>
          <w:sz w:val="23"/>
        </w:rPr>
        <w:t>AGI (Advanced Global Intelligence) / SER / L4</w:t>
      </w:r>
    </w:p>
    <w:p>
      <w:pPr>
        <w:spacing w:after="40"/>
        <w:jc w:val="center"/>
      </w:pPr>
      <w:r>
        <w:rPr>
          <w:rFonts w:ascii="Calibri" w:hAnsi="Calibri"/>
          <w:b w:val="0"/>
          <w:sz w:val="23"/>
        </w:rPr>
        <w:t>Protocol Stack for Persistent, Auditable AI Entities</w:t>
      </w:r>
    </w:p>
    <w:p>
      <w:pPr>
        <w:jc w:val="center"/>
      </w:pPr>
      <w:r>
        <w:rPr>
          <w:rFonts w:ascii="Calibri" w:hAnsi="Calibri" w:cs="Calibri"/>
          <w:b w:val="0"/>
          <w:sz w:val="20"/>
        </w:rPr>
        <w:t>Ivan Kotov · Brussels, Belgium · Independent AI Systems Architect</w:t>
      </w:r>
    </w:p>
    <w:p>
      <w:pPr>
        <w:jc w:val="center"/>
      </w:pPr>
      <w:r>
        <w:rPr>
          <w:rFonts w:ascii="Calibri" w:hAnsi="Calibri" w:cs="Calibri"/>
          <w:b w:val="0"/>
          <w:sz w:val="19"/>
        </w:rPr>
        <w:t>ORCID: 0009-0009-6002-9845 · github.com/Kot141078 · linkedin.com/in/ivan-kotov-57627b210</w:t>
      </w:r>
    </w:p>
    <w:p>
      <w:pPr>
        <w:spacing w:before="80" w:after="120"/>
      </w:pPr>
      <w:r>
        <w:rPr>
          <w:rFonts w:ascii="Calibri" w:hAnsi="Calibri" w:cs="Calibri"/>
          <w:b w:val="0"/>
          <w:sz w:val="19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THE GAP (WHY THIS EXISTS)</w:t>
      </w:r>
    </w:p>
    <w:p>
      <w:pPr>
        <w:spacing w:before="0" w:after="40"/>
      </w:pPr>
      <w:r>
        <w:rPr>
          <w:rFonts w:ascii="Calibri" w:hAnsi="Calibri" w:cs="Calibri"/>
          <w:b w:val="0"/>
          <w:sz w:val="20"/>
        </w:rPr>
        <w:t>Most current AI deployments behave as stateless tools: they generate outputs, then reset. As systems move toward action-capable agents, the missing piece is a public, auditable protocol layer for continuity, privileges, and evidence under real-world constraints. This stack is aligned with Regulation (EU) 2024/1689 (AI Act) enforcement needs — especially Article 50 (Transparency) and Article 14 (Human oversight) — by providing verifiable records of who acted, under which constraints, and with which approved privileges.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THE SOLUTION (PUBLISHED, INTEGRITY-VERIFIED STACK)</w:t>
      </w:r>
    </w:p>
    <w:p>
      <w:pPr>
        <w:spacing w:before="0" w:after="40"/>
      </w:pPr>
      <w:r>
        <w:rPr>
          <w:rFonts w:ascii="Calibri" w:hAnsi="Calibri" w:cs="Calibri"/>
          <w:b w:val="0"/>
          <w:sz w:val="20"/>
        </w:rPr>
        <w:t>A formally published protocol ecosystem built on the foundational formula c = a + b (entity = human anchor + procedures/compute substrate). AGI here explicitly means Advanced Global Intelligence (repository: advanced-global-intelligence), not “Artificial General Intelligence”.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AGI (Advanced Global Intelligence) — system context, glossary, canonical reading path, and cross-repo integrity maps.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c = a + b — base protocol: no human anchor → no valid entity claim.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L4 — Reality Boundary Layer — safety through operational constraints (time/energy/scarce oracle/irreversibility).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SER — Sovereign Entity Recursion — Memory/Action/Arbitration topology, metabolic limits, failure modes.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SER-FED (RFC) — Federation extension — multi-entity governance primitives against monopoly/privilege drift.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EWCEP — Experience-Weighted Co-Evolution — authority derives from verified experience, not capability.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L4 Witness — audit trail schema (hash-chained evidence records) for transparency + oversight hooks.</w:t>
      </w:r>
    </w:p>
    <w:p>
      <w:pPr>
        <w:spacing w:after="40"/>
      </w:pPr>
    </w:p>
    <w:p>
      <w:pPr>
        <w:spacing w:before="80" w:after="120"/>
      </w:pPr>
      <w:r>
        <w:rPr>
          <w:rFonts w:ascii="Calibri" w:hAnsi="Calibri" w:cs="Calibri"/>
          <w:b w:val="0"/>
          <w:sz w:val="19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WHAT EXISTS TODAY (PROOF OF WORK)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Live prototypes: two persistent entities (Ester, Liya) running 24/7 on local hardware in Brussels.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Published corpus: documents in EN/FR/RU/DE with SHA-256 integrity manifests; Zenodo DOI anchors; three public GitHub repositories.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Institutional channel: a technical submission was sent to the European AI Office (DG CNECT) with compliance-oriented artifacts; routing/next-step references were received (Jan 2026).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Public engagement: sustained LinkedIn publishing with substantive expert discussion and industry attention (Jan–Feb 2026).</w:t>
      </w:r>
    </w:p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sz w:val="21"/>
        </w:rPr>
        <w:t>WHAT IS REQUESTED (12-MONTH PROGRAM)</w:t>
      </w:r>
    </w:p>
    <w:p>
      <w:pPr>
        <w:spacing w:before="0" w:after="40"/>
      </w:pPr>
      <w:r>
        <w:rPr>
          <w:rFonts w:ascii="Calibri" w:hAnsi="Calibri" w:cs="Calibri"/>
          <w:b w:val="0"/>
          <w:sz w:val="20"/>
        </w:rPr>
        <w:t>Funding request: €240,000 for 12 months (Brussels-based independent program with external support).</w:t>
      </w:r>
    </w:p>
    <w:p>
      <w:pPr>
        <w:spacing w:before="0" w:after="40"/>
      </w:pPr>
      <w:r>
        <w:rPr>
          <w:rFonts w:ascii="Calibri" w:hAnsi="Calibri" w:cs="Calibri"/>
          <w:b w:val="0"/>
          <w:sz w:val="20"/>
        </w:rPr>
        <w:t>Use of funds (high level): specification hardening + reference tools + audit package templates + targeted external review + standardization liaison.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DELIVERABLES (12 MONTHS)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Normative hardening: consolidated profiles, conformance language, and change control across SER/L4/L4 Witness artifacts (print-ready PDFs + hashes).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Reference tooling: minimal recorder/verifier utilities for L4 Witness evidence chains (audit-friendly CLI + schema validation).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Operational perimeter: L4 Hardware Perimeter baseline integrated as an auditable profile with hashed snapshots.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Audit packages: reusable templates for Article 50/14 evidence extraction (what to log, how to disclose selectively).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Pilot readiness: at least 1–2 externally reviewable “audit bundles” suitable for a regulator/industry technical briefing.</w:t>
      </w:r>
    </w:p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sz w:val="21"/>
        </w:rPr>
        <w:t>WHY IT MATTERS (RETURN)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For regulators: a concrete protocol layer that turns transparency/oversight into verifiable artifacts, not narrative claims.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For industry: a reusable architecture for long-lived agents under constraints (identity, privileges, budgets, evidence).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For research: a publicly documented continuity program with integrity manifests and operational constraints.</w:t>
      </w:r>
    </w:p>
    <w:p>
      <w:pPr>
        <w:spacing w:after="40"/>
      </w:pPr>
    </w:p>
    <w:p>
      <w:pPr>
        <w:spacing w:before="80" w:after="120"/>
      </w:pPr>
      <w:r>
        <w:rPr>
          <w:rFonts w:ascii="Calibri" w:hAnsi="Calibri" w:cs="Calibri"/>
          <w:b w:val="0"/>
          <w:sz w:val="19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ABOUT THE AUTHOR (SHORT)</w:t>
      </w:r>
    </w:p>
    <w:p>
      <w:pPr>
        <w:spacing w:before="0" w:after="40"/>
      </w:pPr>
      <w:r>
        <w:rPr>
          <w:rFonts w:ascii="Calibri" w:hAnsi="Calibri" w:cs="Calibri"/>
          <w:b w:val="0"/>
          <w:sz w:val="20"/>
        </w:rPr>
        <w:t>Ivan Kotov (b. 1978) is an independent AI systems architect based in Brussels. He has worked on AI systems, cybernetics and information-theoretic approaches since the early 1990s, and brings long operational experience in European high-end production environments. Languages: English, French, Russian, Dutch. The work is self-funded and independent.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BRIDGES (REQUIRED)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Explicit bridge (c=a+b): accountable human anchor + repeatable procedures → a stable, auditable public entity corpus.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Hidden bridge #1 (Ashby): separation into AGI (context) / SER (normative) / L4 (operations) provides requisite variety; the regulator is change control + evidence.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Hidden bridge #2 (Cover &amp; Thomas): SHA-256 manifests compress “trust bandwidth” — verification travels as short checkable strings, not narrative.</w:t>
      </w:r>
    </w:p>
    <w:p>
      <w:pPr>
        <w:pStyle w:val="ListBullet"/>
        <w:spacing w:after="0"/>
      </w:pPr>
      <w:r>
        <w:rPr>
          <w:rFonts w:ascii="Calibri" w:hAnsi="Calibri"/>
          <w:sz w:val="20"/>
        </w:rPr>
        <w:t>Earth paragraph (engineering/anatomy): like physiology, blocking one channel is insufficient — power draw, noise, timing, and interfaces are signals; L4 treats them as interfaces and puts them under regime.</w:t>
      </w:r>
    </w:p>
    <w:p>
      <w:pPr>
        <w:spacing w:after="40"/>
      </w:pPr>
    </w:p>
    <w:p>
      <w:pPr>
        <w:jc w:val="center"/>
      </w:pPr>
      <w:r>
        <w:rPr>
          <w:rFonts w:ascii="Calibri" w:hAnsi="Calibri" w:cs="Calibri"/>
          <w:b w:val="0"/>
          <w:sz w:val="18"/>
        </w:rPr>
        <w:t>Protocols &amp; documentation: github.com/Kot141078 | DOI: Zenodo (see repositories) | February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