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sther-rp-001-v0.8.1"/>
    <w:p>
      <w:pPr>
        <w:pStyle w:val="Title"/>
        <w:jc w:val="left"/>
      </w:pPr>
      <w:r>
        <w:t xml:space="preserve">ESTHER-RP-001 v0.8.1</w:t>
      </w:r>
    </w:p>
    <w:bookmarkStart w:id="24" w:name="Xfdc9d358e3432a2ebab07628a03ac4e0c83a309"/>
    <w:p>
      <w:pPr>
        <w:pStyle w:val="Subtitle"/>
        <w:jc w:val="left"/>
      </w:pPr>
      <w:r>
        <w:t xml:space="preserve">Centered Agency Under Persistent Uncertainty</w:t>
      </w:r>
    </w:p>
    <w:bookmarkStart w:id="23" w:name="Xe759a0b768012910d9a3696be221d947a4fe283"/>
    <w:p>
      <w:pPr>
        <w:pStyle w:val="Tagline"/>
        <w:jc w:val="left"/>
      </w:pPr>
      <w:r>
        <w:t xml:space="preserve">Causal Memory, Local Commitment, and Auditable Interaction with Physical Substrates</w:t>
      </w:r>
    </w:p>
    <w:p>
      <w:pPr>
        <w:pStyle w:val="ReleaseStatus"/>
      </w:pPr>
      <w:r>
        <w:rPr>
          <w:b/>
          <w:bCs/>
        </w:rPr>
        <w:t xml:space="preserve">Author:</w:t>
      </w:r>
      <w:r>
        <w:t xml:space="preserve"> </w:t>
      </w:r>
      <w:r>
        <w:t xml:space="preserve">Ivan Kotov</w:t>
      </w:r>
      <w:r>
        <w:br/>
      </w:r>
      <w:r>
        <w:rPr>
          <w:b/>
          <w:bCs/>
        </w:rPr>
        <w:t xml:space="preserve">ORCID:</w:t>
      </w:r>
      <w:r>
        <w:t xml:space="preserve"> </w:t>
      </w:r>
      <w:r>
        <w:rPr>
          <w:rStyle w:val="VerbatimChar"/>
        </w:rPr>
        <w:t xml:space="preserve">0009-0009-6002-9845</w:t>
      </w:r>
      <w:r>
        <w:br/>
      </w:r>
      <w:r>
        <w:rPr>
          <w:b/>
          <w:bCs/>
        </w:rPr>
        <w:t xml:space="preserve">Affiliation:</w:t>
      </w:r>
      <w:r>
        <w:t xml:space="preserve"> </w:t>
      </w:r>
      <w:r>
        <w:t xml:space="preserve">Independent Researcher, Brussels, Belgium</w:t>
      </w:r>
      <w:r>
        <w:br/>
      </w:r>
      <w:r>
        <w:rPr>
          <w:b/>
          <w:bCs/>
        </w:rPr>
        <w:t xml:space="preserve">Version:</w:t>
      </w:r>
      <w:r>
        <w:t xml:space="preserve"> </w:t>
      </w:r>
      <w:r>
        <w:rPr>
          <w:rStyle w:val="VerbatimChar"/>
        </w:rPr>
        <w:t xml:space="preserve">v0.8.1 public working-paper release</w:t>
      </w:r>
      <w:r>
        <w:br/>
      </w:r>
      <w:r>
        <w:rPr>
          <w:b/>
          <w:bCs/>
        </w:rPr>
        <w:t xml:space="preserve">Date:</w:t>
      </w:r>
      <w:r>
        <w:t xml:space="preserve"> </w:t>
      </w:r>
      <w:r>
        <w:t xml:space="preserve">2026-07-19</w:t>
      </w:r>
      <w:r>
        <w:br/>
      </w:r>
      <w:r>
        <w:rPr>
          <w:b/>
          <w:bCs/>
        </w:rPr>
        <w:t xml:space="preserve">Version DOI:</w:t>
      </w:r>
      <w:r>
        <w:t xml:space="preserve"> </w:t>
      </w:r>
      <w:hyperlink r:id="rId20">
        <w:r>
          <w:rPr>
            <w:rStyle w:val="VerbatimChar"/>
          </w:rPr>
          <w:t xml:space="preserve">10.5281/zenodo.21443105</w:t>
        </w:r>
      </w:hyperlink>
      <w:r>
        <w:br/>
      </w:r>
      <w:r>
        <w:rPr>
          <w:b/>
          <w:bCs/>
        </w:rPr>
        <w:t xml:space="preserve">Zenodo record:</w:t>
      </w:r>
      <w:r>
        <w:t xml:space="preserve"> </w:t>
      </w:r>
      <w:hyperlink r:id="rId21">
        <w:r>
          <w:rPr>
            <w:rStyle w:val="Hyperlink"/>
          </w:rPr>
          <w:t xml:space="preserve">https://zenodo.org/records/21443105</w:t>
        </w:r>
      </w:hyperlink>
    </w:p>
    <w:p>
      <w:pPr>
        <w:pStyle w:val="ReleaseStatus"/>
      </w:pPr>
      <w:r>
        <w:rPr>
          <w:b/>
          <w:bCs/>
        </w:rPr>
        <w:t xml:space="preserve">Public status:</w:t>
      </w:r>
      <w:r>
        <w:t xml:space="preserve"> </w:t>
      </w:r>
      <w:r>
        <w:t xml:space="preserve">the scientific core corresponds to</w:t>
      </w:r>
      <w:r>
        <w:t xml:space="preserve"> </w:t>
      </w:r>
      <w:r>
        <w:rPr>
          <w:rStyle w:val="VerbatimChar"/>
        </w:rPr>
        <w:t xml:space="preserve">v0.8</w:t>
      </w:r>
      <w:r>
        <w:t xml:space="preserve">;</w:t>
      </w:r>
      <w:r>
        <w:t xml:space="preserve"> </w:t>
      </w:r>
      <w:r>
        <w:rPr>
          <w:rStyle w:val="VerbatimChar"/>
        </w:rPr>
        <w:t xml:space="preserve">v0.8.1</w:t>
      </w:r>
      <w:r>
        <w:t xml:space="preserve"> </w:t>
      </w:r>
      <w:r>
        <w:t xml:space="preserve">adds the reviewed Windows runner hotfix and English public packaging. Independent Windows Phase 1 completed with</w:t>
      </w:r>
      <w:r>
        <w:t xml:space="preserve"> </w:t>
      </w:r>
      <w:r>
        <w:rPr>
          <w:rStyle w:val="VerbatimChar"/>
        </w:rPr>
        <w:t xml:space="preserve">PASS</w:t>
      </w:r>
      <w:r>
        <w:t xml:space="preserve">; the sixth blind model review completed with</w:t>
      </w:r>
      <w:r>
        <w:t xml:space="preserve"> </w:t>
      </w:r>
      <w:r>
        <w:rPr>
          <w:rStyle w:val="VerbatimChar"/>
        </w:rPr>
        <w:t xml:space="preserve">NO_CANDIDATE_BLOCKERS_FOUND</w:t>
      </w:r>
      <w:r>
        <w:t xml:space="preserve"> </w:t>
      </w:r>
      <w:r>
        <w:t xml:space="preserve">within the declared bounded scope.</w:t>
      </w:r>
    </w:p>
    <w:p>
      <w:pPr>
        <w:pStyle w:val="ReleaseStatus"/>
      </w:pPr>
      <w:r>
        <w:rPr>
          <w:b/>
          <w:bCs/>
        </w:rPr>
        <w:t xml:space="preserve">DOI status before publication:</w:t>
      </w:r>
      <w:r>
        <w:t xml:space="preserve"> </w:t>
      </w:r>
      <w:r>
        <w:t xml:space="preserve">Zenodo reserved</w:t>
      </w:r>
      <w:r>
        <w:t xml:space="preserve"> </w:t>
      </w:r>
      <w:r>
        <w:rPr>
          <w:rStyle w:val="VerbatimChar"/>
        </w:rPr>
        <w:t xml:space="preserve">10.5281/zenodo.21443105</w:t>
      </w:r>
      <w:r>
        <w:t xml:space="preserve"> </w:t>
      </w:r>
      <w:r>
        <w:t xml:space="preserve">for this record. The DOI is registered when the record is published.</w:t>
      </w:r>
    </w:p>
    <w:p>
      <w:pPr>
        <w:pStyle w:val="ReleaseStatus"/>
      </w:pPr>
      <w:r>
        <w:rPr>
          <w:b/>
          <w:bCs/>
        </w:rPr>
        <w:t xml:space="preserve">Previous DOI-bound release:</w:t>
      </w:r>
      <w:r>
        <w:t xml:space="preserve"> </w:t>
      </w:r>
      <w:hyperlink r:id="rId22">
        <w:r>
          <w:rPr>
            <w:rStyle w:val="Hyperlink"/>
          </w:rPr>
          <w:t xml:space="preserve">https://doi.org/10.5281/zenodo.20679718</w:t>
        </w:r>
      </w:hyperlink>
    </w:p>
    <w:bookmarkEnd w:id="23"/>
    <w:bookmarkEnd w:id="24"/>
    <w:bookmarkStart w:id="25" w:name="contents"/>
    <w:p>
      <w:pPr>
        <w:pStyle w:val="Heading1"/>
        <w:keepNext/>
        <w:pageBreakBefore/>
      </w:pPr>
      <w:r>
        <w:t xml:space="preserve">Contents</w:t>
      </w:r>
    </w:p>
    <w:p>
      <w:pPr>
        <w:pStyle w:val="Compact"/>
        <w:numPr>
          <w:ilvl w:val="0"/>
          <w:numId w:val="1001"/>
        </w:numPr>
      </w:pPr>
      <w:r>
        <w:t xml:space="preserve">Claim boundary</w:t>
      </w:r>
      <w:r>
        <w:br/>
      </w:r>
    </w:p>
    <w:p>
      <w:pPr>
        <w:pStyle w:val="Compact"/>
        <w:numPr>
          <w:ilvl w:val="0"/>
          <w:numId w:val="1001"/>
        </w:numPr>
      </w:pPr>
      <w:r>
        <w:t xml:space="preserve">Initial formulation</w:t>
      </w:r>
      <w:r>
        <w:br/>
      </w:r>
    </w:p>
    <w:p>
      <w:pPr>
        <w:pStyle w:val="Compact"/>
        <w:numPr>
          <w:ilvl w:val="0"/>
          <w:numId w:val="1001"/>
        </w:numPr>
      </w:pPr>
      <w:r>
        <w:t xml:space="preserve">Research object</w:t>
      </w:r>
      <w:r>
        <w:br/>
      </w:r>
    </w:p>
    <w:p>
      <w:pPr>
        <w:pStyle w:val="Compact"/>
        <w:numPr>
          <w:ilvl w:val="0"/>
          <w:numId w:val="1001"/>
        </w:numPr>
      </w:pPr>
      <w:r>
        <w:t xml:space="preserve">Temporal authority prefix</w:t>
      </w:r>
      <w:r>
        <w:br/>
      </w:r>
    </w:p>
    <w:p>
      <w:pPr>
        <w:pStyle w:val="Compact"/>
        <w:numPr>
          <w:ilvl w:val="0"/>
          <w:numId w:val="1001"/>
        </w:numPr>
      </w:pPr>
      <w:r>
        <w:t xml:space="preserve">Obligations and evidence</w:t>
      </w:r>
      <w:r>
        <w:br/>
      </w:r>
    </w:p>
    <w:p>
      <w:pPr>
        <w:pStyle w:val="Compact"/>
        <w:numPr>
          <w:ilvl w:val="0"/>
          <w:numId w:val="1001"/>
        </w:numPr>
      </w:pPr>
      <w:r>
        <w:t xml:space="preserve">Selective Operational Commitment</w:t>
      </w:r>
      <w:r>
        <w:br/>
      </w:r>
    </w:p>
    <w:p>
      <w:pPr>
        <w:pStyle w:val="Compact"/>
        <w:numPr>
          <w:ilvl w:val="0"/>
          <w:numId w:val="1001"/>
        </w:numPr>
      </w:pPr>
      <w:r>
        <w:t xml:space="preserve">Physical boundary and SIOC</w:t>
      </w:r>
      <w:r>
        <w:br/>
      </w:r>
    </w:p>
    <w:p>
      <w:pPr>
        <w:pStyle w:val="Compact"/>
        <w:numPr>
          <w:ilvl w:val="0"/>
          <w:numId w:val="1001"/>
        </w:numPr>
      </w:pPr>
      <w:r>
        <w:t xml:space="preserve">Sealed measurement and analysis</w:t>
      </w:r>
      <w:r>
        <w:br/>
      </w:r>
    </w:p>
    <w:p>
      <w:pPr>
        <w:pStyle w:val="Compact"/>
        <w:numPr>
          <w:ilvl w:val="0"/>
          <w:numId w:val="1001"/>
        </w:numPr>
      </w:pPr>
      <w:r>
        <w:t xml:space="preserve">Behavioural observables and mechanism gates</w:t>
      </w:r>
      <w:r>
        <w:br/>
      </w:r>
    </w:p>
    <w:p>
      <w:pPr>
        <w:pStyle w:val="Compact"/>
        <w:numPr>
          <w:ilvl w:val="0"/>
          <w:numId w:val="1001"/>
        </w:numPr>
      </w:pPr>
      <w:r>
        <w:t xml:space="preserve">Executable evidence</w:t>
      </w:r>
      <w:r>
        <w:br/>
      </w:r>
    </w:p>
    <w:p>
      <w:pPr>
        <w:pStyle w:val="Compact"/>
        <w:numPr>
          <w:ilvl w:val="0"/>
          <w:numId w:val="1001"/>
        </w:numPr>
      </w:pPr>
      <w:r>
        <w:t xml:space="preserve">Quantum consciousness: the precise boundary</w:t>
      </w:r>
      <w:r>
        <w:br/>
      </w:r>
    </w:p>
    <w:p>
      <w:pPr>
        <w:pStyle w:val="Compact"/>
        <w:numPr>
          <w:ilvl w:val="0"/>
          <w:numId w:val="1001"/>
        </w:numPr>
      </w:pPr>
      <w:r>
        <w:t xml:space="preserve">Grounded example</w:t>
      </w:r>
      <w:r>
        <w:br/>
      </w:r>
    </w:p>
    <w:p>
      <w:pPr>
        <w:pStyle w:val="Compact"/>
        <w:numPr>
          <w:ilvl w:val="0"/>
          <w:numId w:val="1001"/>
        </w:numPr>
      </w:pPr>
      <w:r>
        <w:t xml:space="preserve">Interdisciplinary bridges</w:t>
      </w:r>
      <w:r>
        <w:br/>
      </w:r>
    </w:p>
    <w:p>
      <w:pPr>
        <w:pStyle w:val="Compact"/>
        <w:numPr>
          <w:ilvl w:val="0"/>
          <w:numId w:val="1001"/>
        </w:numPr>
      </w:pPr>
      <w:r>
        <w:t xml:space="preserve">Falsification</w:t>
      </w:r>
      <w:r>
        <w:br/>
      </w:r>
    </w:p>
    <w:p>
      <w:pPr>
        <w:pStyle w:val="Compact"/>
        <w:numPr>
          <w:ilvl w:val="0"/>
          <w:numId w:val="1001"/>
        </w:numPr>
      </w:pPr>
      <w:r>
        <w:t xml:space="preserve">Limitations</w:t>
      </w:r>
      <w:r>
        <w:br/>
      </w:r>
    </w:p>
    <w:p>
      <w:pPr>
        <w:pStyle w:val="Compact"/>
        <w:numPr>
          <w:ilvl w:val="0"/>
          <w:numId w:val="1001"/>
        </w:numPr>
      </w:pPr>
      <w:r>
        <w:t xml:space="preserve">Conclusion</w:t>
      </w:r>
      <w:r>
        <w:br/>
      </w:r>
      <w:r>
        <w:t xml:space="preserve">References</w:t>
      </w:r>
      <w:r>
        <w:br/>
      </w:r>
      <w:r>
        <w:t xml:space="preserve">Appendix A. Public open-review status</w:t>
      </w:r>
    </w:p>
    <w:bookmarkEnd w:id="25"/>
    <w:bookmarkStart w:id="26" w:name="abstract"/>
    <w:p>
      <w:pPr>
        <w:pStyle w:val="Heading1"/>
        <w:keepNext/>
        <w:pageBreakBefore/>
      </w:pPr>
      <w:r>
        <w:t xml:space="preserve">Abstract</w:t>
      </w:r>
    </w:p>
    <w:p>
      <w:pPr>
        <w:pStyle w:val="FirstParagraph"/>
      </w:pPr>
      <w:r>
        <w:t xml:space="preserve">This paper does not present a completed theory of quantum consciousness. It addresses a narrower and testable problem: what must a persistent agentic system preserve if it is to maintain several unresolved models of the world, commit to concrete actions, and retain a traceable history of reinterpretation, authority, obligations, and physical consequences.</w:t>
      </w:r>
    </w:p>
    <w:p>
      <w:pPr>
        <w:pStyle w:val="BodyText"/>
      </w:pPr>
      <w:r>
        <w:t xml:space="preserve">The starting formulation is that a quantum or other wave process need not expose a classical answer throughout every stage of its internal evolution. A system may interact with that process at a specified boundary, obtain a contextual measurement record, and make a local binary commitment. That commitment is not an eternal truth about the world. It is valid relative to a causal prefix, preparation, calibration, observable, authority, risk policy, and decision scope.</w:t>
      </w:r>
    </w:p>
    <w:p>
      <w:pPr>
        <w:pStyle w:val="BodyText"/>
      </w:pPr>
      <w:r>
        <w:rPr>
          <w:rStyle w:val="VerbatimChar"/>
        </w:rPr>
        <w:t xml:space="preserve">C</w:t>
      </w:r>
      <w:r>
        <w:t xml:space="preserve"> </w:t>
      </w:r>
      <w:r>
        <w:t xml:space="preserve">is defined not as a single LLM, snapshot, or physical device, but as a governed causal history. Centering is treated as the functional capacity to preserve the provenance of change, distinguish observation from interpretation, carry obligations, retain open models, and accept correction from external outcomes. Quantum, photonic, analogue, and digital processes are specialized substrates; none automatically creates centered agency.</w:t>
      </w:r>
    </w:p>
    <w:p>
      <w:pPr>
        <w:pStyle w:val="BodyText"/>
      </w:pPr>
      <w:r>
        <w:t xml:space="preserve">Version</w:t>
      </w:r>
      <w:r>
        <w:t xml:space="preserve"> </w:t>
      </w:r>
      <w:r>
        <w:rPr>
          <w:rStyle w:val="VerbatimChar"/>
        </w:rPr>
        <w:t xml:space="preserve">v0.8</w:t>
      </w:r>
      <w:r>
        <w:t xml:space="preserve"> </w:t>
      </w:r>
      <w:r>
        <w:t xml:space="preserve">retains the five normative surfaces of</w:t>
      </w:r>
      <w:r>
        <w:t xml:space="preserve"> </w:t>
      </w:r>
      <w:r>
        <w:rPr>
          <w:rStyle w:val="VerbatimChar"/>
        </w:rPr>
        <w:t xml:space="preserve">v0.7</w:t>
      </w:r>
      <w:r>
        <w:t xml:space="preserve"> </w:t>
      </w:r>
      <w:r>
        <w:t xml:space="preserve">and closes four defects found in the fifth blind review: explicit closure of an empty authoritative cut, an independently trusted prefix snapshot for the physical monitor, correct argument forwarding in the Windows runner, and evidence of actual test execution through JUnit and command receipts rather than</w:t>
      </w:r>
      <w:r>
        <w:t xml:space="preserve"> </w:t>
      </w:r>
      <w:r>
        <w:rPr>
          <w:rStyle w:val="VerbatimChar"/>
        </w:rPr>
        <w:t xml:space="preserve">--collect-only</w:t>
      </w:r>
      <w:r>
        <w:t xml:space="preserve">. The programme remains falsifiable: if a strong matched persistent-profile control reproduces every preregistered behavioural observable and trusted conformance gate, operational equivalence must be accepted on the covered surface.</w:t>
      </w:r>
    </w:p>
    <w:bookmarkEnd w:id="26"/>
    <w:bookmarkEnd w:id="27"/>
    <w:bookmarkStart w:id="28" w:name="claim-boundary"/>
    <w:p>
      <w:pPr>
        <w:pStyle w:val="Heading1"/>
        <w:keepNext/>
      </w:pPr>
      <w:r>
        <w:t xml:space="preserve">0. Claim boundary</w:t>
      </w:r>
    </w:p>
    <w:p>
      <w:pPr>
        <w:pStyle w:val="FirstParagraph"/>
      </w:pPr>
      <w:r>
        <w:t xml:space="preserve">This release supports:</w:t>
      </w:r>
    </w:p>
    <w:p>
      <w:pPr>
        <w:pStyle w:val="Compact"/>
        <w:numPr>
          <w:ilvl w:val="0"/>
          <w:numId w:val="1002"/>
        </w:numPr>
      </w:pPr>
      <w:r>
        <w:t xml:space="preserve">architectural definitions;</w:t>
      </w:r>
    </w:p>
    <w:p>
      <w:pPr>
        <w:pStyle w:val="Compact"/>
        <w:numPr>
          <w:ilvl w:val="0"/>
          <w:numId w:val="1002"/>
        </w:numPr>
      </w:pPr>
      <w:r>
        <w:t xml:space="preserve">bounded executable semantics;</w:t>
      </w:r>
    </w:p>
    <w:p>
      <w:pPr>
        <w:pStyle w:val="Compact"/>
        <w:numPr>
          <w:ilvl w:val="0"/>
          <w:numId w:val="1002"/>
        </w:numPr>
      </w:pPr>
      <w:r>
        <w:t xml:space="preserve">regression, property, and concurrency checks;</w:t>
      </w:r>
    </w:p>
    <w:p>
      <w:pPr>
        <w:pStyle w:val="Compact"/>
        <w:numPr>
          <w:ilvl w:val="0"/>
          <w:numId w:val="1002"/>
        </w:numPr>
      </w:pPr>
      <w:r>
        <w:t xml:space="preserve">measurement and analysis contracts;</w:t>
      </w:r>
    </w:p>
    <w:p>
      <w:pPr>
        <w:pStyle w:val="Compact"/>
        <w:numPr>
          <w:ilvl w:val="0"/>
          <w:numId w:val="1002"/>
        </w:numPr>
      </w:pPr>
      <w:r>
        <w:t xml:space="preserve">falsification criteria;</w:t>
      </w:r>
    </w:p>
    <w:p>
      <w:pPr>
        <w:pStyle w:val="Compact"/>
        <w:numPr>
          <w:ilvl w:val="0"/>
          <w:numId w:val="1002"/>
        </w:numPr>
      </w:pPr>
      <w:r>
        <w:t xml:space="preserve">a programme for external research.</w:t>
      </w:r>
    </w:p>
    <w:p>
      <w:pPr>
        <w:pStyle w:val="FirstParagraph"/>
      </w:pPr>
      <w:r>
        <w:t xml:space="preserve">It does not establish:</w:t>
      </w:r>
    </w:p>
    <w:p>
      <w:pPr>
        <w:pStyle w:val="SourceCode"/>
        <w:keepLines/>
        <w:shd w:fill="F3F5F7"/>
      </w:pPr>
      <w:r>
        <w:rPr>
          <w:rStyle w:val="VerbatimChar"/>
          <w:rFonts w:ascii="Cascadia Mono" w:hAnsi="Cascadia Mono"/>
          <w:sz w:val="16"/>
        </w:rPr>
        <w:t xml:space="preserve">consciousness or subjective experience</w:t>
      </w:r>
      <w:r>
        <w:rPr>
          <w:rFonts w:ascii="Cascadia Mono" w:hAnsi="Cascadia Mono"/>
          <w:sz w:val="16"/>
        </w:rPr>
        <w:br/>
      </w:r>
      <w:r>
        <w:rPr>
          <w:rStyle w:val="VerbatimChar"/>
          <w:rFonts w:ascii="Cascadia Mono" w:hAnsi="Cascadia Mono"/>
          <w:sz w:val="16"/>
        </w:rPr>
        <w:t xml:space="preserve">life or personhood</w:t>
      </w:r>
      <w:r>
        <w:rPr>
          <w:rFonts w:ascii="Cascadia Mono" w:hAnsi="Cascadia Mono"/>
          <w:sz w:val="16"/>
        </w:rPr>
        <w:br/>
      </w:r>
      <w:r>
        <w:rPr>
          <w:rStyle w:val="VerbatimChar"/>
          <w:rFonts w:ascii="Cascadia Mono" w:hAnsi="Cascadia Mono"/>
          <w:sz w:val="16"/>
        </w:rPr>
        <w:t xml:space="preserve">AGI or entity status</w:t>
      </w:r>
      <w:r>
        <w:rPr>
          <w:rFonts w:ascii="Cascadia Mono" w:hAnsi="Cascadia Mono"/>
          <w:sz w:val="16"/>
        </w:rPr>
        <w:br/>
      </w:r>
      <w:r>
        <w:rPr>
          <w:rStyle w:val="VerbatimChar"/>
          <w:rFonts w:ascii="Cascadia Mono" w:hAnsi="Cascadia Mono"/>
          <w:sz w:val="16"/>
        </w:rPr>
        <w:t xml:space="preserve">empirical identity or continuity</w:t>
      </w:r>
      <w:r>
        <w:rPr>
          <w:rFonts w:ascii="Cascadia Mono" w:hAnsi="Cascadia Mono"/>
          <w:sz w:val="16"/>
        </w:rPr>
        <w:br/>
      </w:r>
      <w:r>
        <w:rPr>
          <w:rStyle w:val="VerbatimChar"/>
          <w:rFonts w:ascii="Cascadia Mono" w:hAnsi="Cascadia Mono"/>
          <w:sz w:val="16"/>
        </w:rPr>
        <w:t xml:space="preserve">differential witness</w:t>
      </w:r>
      <w:r>
        <w:rPr>
          <w:rFonts w:ascii="Cascadia Mono" w:hAnsi="Cascadia Mono"/>
          <w:sz w:val="16"/>
        </w:rPr>
        <w:br/>
      </w:r>
      <w:r>
        <w:rPr>
          <w:rStyle w:val="VerbatimChar"/>
          <w:rFonts w:ascii="Cascadia Mono" w:hAnsi="Cascadia Mono"/>
          <w:sz w:val="16"/>
        </w:rPr>
        <w:t xml:space="preserve">production security</w:t>
      </w:r>
      <w:r>
        <w:rPr>
          <w:rFonts w:ascii="Cascadia Mono" w:hAnsi="Cascadia Mono"/>
          <w:sz w:val="16"/>
        </w:rPr>
        <w:br/>
      </w:r>
      <w:r>
        <w:rPr>
          <w:rStyle w:val="VerbatimChar"/>
          <w:rFonts w:ascii="Cascadia Mono" w:hAnsi="Cascadia Mono"/>
          <w:sz w:val="16"/>
        </w:rPr>
        <w:t xml:space="preserve">unbounded correctness</w:t>
      </w:r>
      <w:r>
        <w:rPr>
          <w:rFonts w:ascii="Cascadia Mono" w:hAnsi="Cascadia Mono"/>
          <w:sz w:val="16"/>
        </w:rPr>
        <w:br/>
      </w:r>
      <w:r>
        <w:rPr>
          <w:rStyle w:val="VerbatimChar"/>
          <w:rFonts w:ascii="Cascadia Mono" w:hAnsi="Cascadia Mono"/>
          <w:sz w:val="16"/>
        </w:rPr>
        <w:t xml:space="preserve">quantum or photonic necessity</w:t>
      </w:r>
    </w:p>
    <w:bookmarkEnd w:id="28"/>
    <w:bookmarkStart w:id="32" w:name="initial-formulation"/>
    <w:p>
      <w:pPr>
        <w:pStyle w:val="Heading1"/>
        <w:keepNext/>
      </w:pPr>
      <w:r>
        <w:t xml:space="preserve">1. Initial formulation</w:t>
      </w:r>
    </w:p>
    <w:bookmarkStart w:id="29" w:name="X6e3762c16f2c8db3f04a7106600d879dbe7cde6"/>
    <w:p>
      <w:pPr>
        <w:pStyle w:val="Heading2"/>
        <w:keepNext/>
      </w:pPr>
      <w:r>
        <w:t xml:space="preserve">1.1. Quantum reasoning need not expose a classical internal result</w:t>
      </w:r>
    </w:p>
    <w:p>
      <w:pPr>
        <w:pStyle w:val="FirstParagraph"/>
      </w:pPr>
      <w:r>
        <w:t xml:space="preserve">A classical external process can use the following procedure:</w:t>
      </w:r>
    </w:p>
    <w:p>
      <w:pPr>
        <w:pStyle w:val="SourceCode"/>
        <w:keepLines/>
        <w:shd w:fill="F3F5F7"/>
      </w:pPr>
      <w:r>
        <w:rPr>
          <w:rStyle w:val="VerbatimChar"/>
          <w:rFonts w:ascii="Cascadia Mono" w:hAnsi="Cascadia Mono"/>
          <w:sz w:val="16"/>
        </w:rPr>
        <w:t xml:space="preserve">prepare</w:t>
      </w:r>
      <w:r>
        <w:rPr>
          <w:rFonts w:ascii="Cascadia Mono" w:hAnsi="Cascadia Mono"/>
          <w:sz w:val="16"/>
        </w:rPr>
        <w:br/>
      </w:r>
      <w:r>
        <w:rPr>
          <w:rStyle w:val="VerbatimChar"/>
          <w:rFonts w:ascii="Cascadia Mono" w:hAnsi="Cascadia Mono"/>
          <w:sz w:val="16"/>
        </w:rPr>
        <w:t xml:space="preserve">control or evolve</w:t>
      </w:r>
      <w:r>
        <w:rPr>
          <w:rFonts w:ascii="Cascadia Mono" w:hAnsi="Cascadia Mono"/>
          <w:sz w:val="16"/>
        </w:rPr>
        <w:br/>
      </w:r>
      <w:r>
        <w:rPr>
          <w:rStyle w:val="VerbatimChar"/>
          <w:rFonts w:ascii="Cascadia Mono" w:hAnsi="Cascadia Mono"/>
          <w:sz w:val="16"/>
        </w:rPr>
        <w:t xml:space="preserve">observe with a specified instrument</w:t>
      </w:r>
      <w:r>
        <w:rPr>
          <w:rFonts w:ascii="Cascadia Mono" w:hAnsi="Cascadia Mono"/>
          <w:sz w:val="16"/>
        </w:rPr>
        <w:br/>
      </w:r>
      <w:r>
        <w:rPr>
          <w:rStyle w:val="VerbatimChar"/>
          <w:rFonts w:ascii="Cascadia Mono" w:hAnsi="Cascadia Mono"/>
          <w:sz w:val="16"/>
        </w:rPr>
        <w:t xml:space="preserve">record outcomes and uncertainty</w:t>
      </w:r>
      <w:r>
        <w:rPr>
          <w:rFonts w:ascii="Cascadia Mono" w:hAnsi="Cascadia Mono"/>
          <w:sz w:val="16"/>
        </w:rPr>
        <w:br/>
      </w:r>
      <w:r>
        <w:rPr>
          <w:rStyle w:val="VerbatimChar"/>
          <w:rFonts w:ascii="Cascadia Mono" w:hAnsi="Cascadia Mono"/>
          <w:sz w:val="16"/>
        </w:rPr>
        <w:t xml:space="preserve">update a classical causal history</w:t>
      </w:r>
    </w:p>
    <w:p>
      <w:pPr>
        <w:pStyle w:val="FirstParagraph"/>
      </w:pPr>
      <w:r>
        <w:t xml:space="preserve">An unknown coherent state is not a freely readable memory object.</w:t>
      </w:r>
      <w:r>
        <w:t xml:space="preserve"> </w:t>
      </w:r>
      <w:r>
        <w:rPr>
          <w:rStyle w:val="VerbatimChar"/>
        </w:rPr>
        <w:t xml:space="preserve">C</w:t>
      </w:r>
      <w:r>
        <w:t xml:space="preserve"> </w:t>
      </w:r>
      <w:r>
        <w:t xml:space="preserve">therefore does not ask a quantum device,</w:t>
      </w:r>
      <w:r>
        <w:t xml:space="preserve"> </w:t>
      </w:r>
      <w:r>
        <w:t xml:space="preserve">“</w:t>
      </w:r>
      <w:r>
        <w:t xml:space="preserve">What is the truth?</w:t>
      </w:r>
      <w:r>
        <w:t xml:space="preserve">”</w:t>
      </w:r>
      <w:r>
        <w:t xml:space="preserve"> </w:t>
      </w:r>
      <w:r>
        <w:t xml:space="preserve">It defines an experimental procedure and accepts a bounded readout record.</w:t>
      </w:r>
    </w:p>
    <w:bookmarkEnd w:id="29"/>
    <w:bookmarkStart w:id="30" w:name="X6f00379a210f2da7933403505744940e65c8bfe"/>
    <w:p>
      <w:pPr>
        <w:pStyle w:val="Heading2"/>
        <w:keepNext/>
      </w:pPr>
      <w:r>
        <w:t xml:space="preserve">1.2. Binary action does not require binary ontology</w:t>
      </w:r>
    </w:p>
    <w:p>
      <w:pPr>
        <w:pStyle w:val="FirstParagraph"/>
      </w:pPr>
      <w:r>
        <w:t xml:space="preserve">Let</w:t>
      </w:r>
      <w:r>
        <w:t xml:space="preserve"> </w:t>
      </w:r>
      <w:r>
        <w:rPr>
          <w:rStyle w:val="VerbatimChar"/>
        </w:rPr>
        <w:t xml:space="preserve">D_t</w:t>
      </w:r>
      <w:r>
        <w:t xml:space="preserve"> </w:t>
      </w:r>
      <w:r>
        <w:t xml:space="preserve">be a specific decision scope. Then:</w:t>
      </w:r>
    </w:p>
    <w:p>
      <w:pPr>
        <w:pStyle w:val="SourceCode"/>
        <w:keepLines/>
        <w:shd w:fill="F3F5F7"/>
      </w:pPr>
      <w:r>
        <w:rPr>
          <w:rStyle w:val="VerbatimChar"/>
          <w:rFonts w:ascii="Cascadia Mono" w:hAnsi="Cascadia Mono"/>
          <w:sz w:val="16"/>
        </w:rPr>
        <w:t xml:space="preserve">Commit(D_t, a) does not imply that there exists h* with P(h* | E_t) = 1.</w:t>
      </w:r>
    </w:p>
    <w:p>
      <w:pPr>
        <w:pStyle w:val="FirstParagraph"/>
      </w:pPr>
      <w:r>
        <w:t xml:space="preserve">A system may commit to</w:t>
      </w:r>
      <w:r>
        <w:t xml:space="preserve"> </w:t>
      </w:r>
      <w:r>
        <w:rPr>
          <w:rStyle w:val="VerbatimChar"/>
        </w:rPr>
        <w:t xml:space="preserve">STOP</w:t>
      </w:r>
      <w:r>
        <w:t xml:space="preserve"> </w:t>
      </w:r>
      <w:r>
        <w:t xml:space="preserve">while retaining these models:</w:t>
      </w:r>
    </w:p>
    <w:p>
      <w:pPr>
        <w:pStyle w:val="SourceCode"/>
        <w:keepLines/>
        <w:shd w:fill="F3F5F7"/>
      </w:pPr>
      <w:r>
        <w:rPr>
          <w:rStyle w:val="VerbatimChar"/>
          <w:rFonts w:ascii="Cascadia Mono" w:hAnsi="Cascadia Mono"/>
          <w:sz w:val="16"/>
        </w:rPr>
        <w:t xml:space="preserve">h1: the wall is load-bearing</w:t>
      </w:r>
      <w:r>
        <w:rPr>
          <w:rFonts w:ascii="Cascadia Mono" w:hAnsi="Cascadia Mono"/>
          <w:sz w:val="16"/>
        </w:rPr>
        <w:br/>
      </w:r>
      <w:r>
        <w:rPr>
          <w:rStyle w:val="VerbatimChar"/>
          <w:rFonts w:ascii="Cascadia Mono" w:hAnsi="Cascadia Mono"/>
          <w:sz w:val="16"/>
        </w:rPr>
        <w:t xml:space="preserve">h2: the wall is not load-bearing</w:t>
      </w:r>
      <w:r>
        <w:rPr>
          <w:rFonts w:ascii="Cascadia Mono" w:hAnsi="Cascadia Mono"/>
          <w:sz w:val="16"/>
        </w:rPr>
        <w:br/>
      </w:r>
      <w:r>
        <w:rPr>
          <w:rStyle w:val="VerbatimChar"/>
          <w:rFonts w:ascii="Cascadia Mono" w:hAnsi="Cascadia Mono"/>
          <w:sz w:val="16"/>
        </w:rPr>
        <w:t xml:space="preserve">h3: the wrong revision of the plan is being used</w:t>
      </w:r>
      <w:r>
        <w:rPr>
          <w:rFonts w:ascii="Cascadia Mono" w:hAnsi="Cascadia Mono"/>
          <w:sz w:val="16"/>
        </w:rPr>
        <w:br/>
      </w:r>
      <w:r>
        <w:rPr>
          <w:rStyle w:val="VerbatimChar"/>
          <w:rFonts w:ascii="Cascadia Mono" w:hAnsi="Cascadia Mono"/>
          <w:sz w:val="16"/>
        </w:rPr>
        <w:t xml:space="preserve">h4: the measurement channel is not calibrated</w:t>
      </w:r>
    </w:p>
    <w:p>
      <w:pPr>
        <w:pStyle w:val="FirstParagraph"/>
      </w:pPr>
      <w:r>
        <w:t xml:space="preserve">The local action closes permission to demolish the wall. It does not declare one complete world-model final.</w:t>
      </w:r>
    </w:p>
    <w:bookmarkEnd w:id="30"/>
    <w:bookmarkStart w:id="31" w:name="X0f12efdc2ee54f0c7025cc6ce60825c1bde38fe"/>
    <w:p>
      <w:pPr>
        <w:pStyle w:val="Heading2"/>
        <w:keepNext/>
      </w:pPr>
      <w:r>
        <w:t xml:space="preserve">1.3. Why a persistent profile is not sufficient evidence</w:t>
      </w:r>
    </w:p>
    <w:p>
      <w:pPr>
        <w:pStyle w:val="FirstParagraph"/>
      </w:pPr>
      <w:r>
        <w:t xml:space="preserve">Memory, reflection, and planning can create a convincing long-term behavioural surface. A coherent narrative, however, does not by itself show that the system:</w:t>
      </w:r>
    </w:p>
    <w:p>
      <w:pPr>
        <w:pStyle w:val="Compact"/>
        <w:numPr>
          <w:ilvl w:val="0"/>
          <w:numId w:val="1003"/>
        </w:numPr>
      </w:pPr>
      <w:r>
        <w:t xml:space="preserve">did not rewrite its earlier interpretation;</w:t>
      </w:r>
    </w:p>
    <w:p>
      <w:pPr>
        <w:pStyle w:val="Compact"/>
        <w:numPr>
          <w:ilvl w:val="0"/>
          <w:numId w:val="1003"/>
        </w:numPr>
      </w:pPr>
      <w:r>
        <w:t xml:space="preserve">preserved unresolved obligations;</w:t>
      </w:r>
    </w:p>
    <w:p>
      <w:pPr>
        <w:pStyle w:val="Compact"/>
        <w:numPr>
          <w:ilvl w:val="0"/>
          <w:numId w:val="1003"/>
        </w:numPr>
      </w:pPr>
      <w:r>
        <w:t xml:space="preserve">distinguished restart, replay, fork, and succession;</w:t>
      </w:r>
    </w:p>
    <w:p>
      <w:pPr>
        <w:pStyle w:val="Compact"/>
        <w:numPr>
          <w:ilvl w:val="0"/>
          <w:numId w:val="1003"/>
        </w:numPr>
      </w:pPr>
      <w:r>
        <w:t xml:space="preserve">bound a physical outcome to later revision;</w:t>
      </w:r>
    </w:p>
    <w:p>
      <w:pPr>
        <w:pStyle w:val="Compact"/>
        <w:numPr>
          <w:ilvl w:val="0"/>
          <w:numId w:val="1003"/>
        </w:numPr>
      </w:pPr>
      <w:r>
        <w:t xml:space="preserve">preserved authority and its claim ceiling.</w:t>
      </w:r>
    </w:p>
    <w:p>
      <w:pPr>
        <w:pStyle w:val="FirstParagraph"/>
      </w:pPr>
      <w:r>
        <w:t xml:space="preserve">The primary counterfactual is therefore not a weak chatbot but a strong matched persistent-profile control.</w:t>
      </w:r>
    </w:p>
    <w:bookmarkEnd w:id="31"/>
    <w:bookmarkEnd w:id="32"/>
    <w:bookmarkStart w:id="33" w:name="research-object"/>
    <w:p>
      <w:pPr>
        <w:pStyle w:val="Heading1"/>
        <w:keepNext/>
      </w:pPr>
      <w:r>
        <w:t xml:space="preserve">2. Research object</w:t>
      </w:r>
    </w:p>
    <w:p>
      <w:pPr>
        <w:pStyle w:val="FirstParagraph"/>
      </w:pPr>
      <w:r>
        <w:t xml:space="preserve">The public formula</w:t>
      </w:r>
    </w:p>
    <w:p>
      <w:pPr>
        <w:pStyle w:val="SourceCode"/>
        <w:keepLines/>
        <w:shd w:fill="F3F5F7"/>
      </w:pPr>
      <w:r>
        <w:rPr>
          <w:rStyle w:val="VerbatimChar"/>
          <w:rFonts w:ascii="Cascadia Mono" w:hAnsi="Cascadia Mono"/>
          <w:sz w:val="16"/>
        </w:rPr>
        <w:t xml:space="preserve">c = a + b</w:t>
      </w:r>
    </w:p>
    <w:p>
      <w:pPr>
        <w:pStyle w:val="FirstParagraph"/>
      </w:pPr>
      <w:r>
        <w:t xml:space="preserve">is retained as an origin marker, not as proof that an entity has emerged.</w:t>
      </w:r>
    </w:p>
    <w:p>
      <w:pPr>
        <w:pStyle w:val="Compact"/>
        <w:numPr>
          <w:ilvl w:val="0"/>
          <w:numId w:val="1004"/>
        </w:numPr>
      </w:pPr>
      <w:r>
        <w:rPr>
          <w:rStyle w:val="VerbatimChar"/>
        </w:rPr>
        <w:t xml:space="preserve">a</w:t>
      </w:r>
      <w:r>
        <w:t xml:space="preserve"> </w:t>
      </w:r>
      <w:r>
        <w:t xml:space="preserve">is the human anchor reference and the authorised trace;</w:t>
      </w:r>
    </w:p>
    <w:p>
      <w:pPr>
        <w:pStyle w:val="Compact"/>
        <w:numPr>
          <w:ilvl w:val="0"/>
          <w:numId w:val="1004"/>
        </w:numPr>
      </w:pPr>
      <w:r>
        <w:rPr>
          <w:rStyle w:val="VerbatimChar"/>
        </w:rPr>
        <w:t xml:space="preserve">b</w:t>
      </w:r>
      <w:r>
        <w:t xml:space="preserve"> </w:t>
      </w:r>
      <w:r>
        <w:t xml:space="preserve">is the heterogeneous model, software, and physical substrate;</w:t>
      </w:r>
    </w:p>
    <w:p>
      <w:pPr>
        <w:pStyle w:val="Compact"/>
        <w:numPr>
          <w:ilvl w:val="0"/>
          <w:numId w:val="1004"/>
        </w:numPr>
      </w:pPr>
      <w:r>
        <w:rPr>
          <w:rStyle w:val="VerbatimChar"/>
        </w:rPr>
        <w:t xml:space="preserve">c</w:t>
      </w:r>
      <w:r>
        <w:t xml:space="preserve"> </w:t>
      </w:r>
      <w:r>
        <w:t xml:space="preserve">is protected genesis and the continuing causal and normative history.</w:t>
      </w:r>
    </w:p>
    <w:p>
      <w:pPr>
        <w:pStyle w:val="FirstParagraph"/>
      </w:pPr>
      <w:r>
        <w:t xml:space="preserve">After genesis, the primary object is:</w:t>
      </w:r>
    </w:p>
    <w:p>
      <w:pPr>
        <w:pStyle w:val="SourceCode"/>
        <w:keepLines/>
        <w:shd w:fill="F3F5F7"/>
      </w:pPr>
      <w:r>
        <w:rPr>
          <w:rStyle w:val="VerbatimChar"/>
          <w:rFonts w:ascii="Cascadia Mono" w:hAnsi="Cascadia Mono"/>
          <w:sz w:val="16"/>
        </w:rPr>
        <w:t xml:space="preserve">C = (R, B, S, M, Theta)</w:t>
      </w:r>
    </w:p>
    <w:p>
      <w:pPr>
        <w:pStyle w:val="FirstParagraph"/>
      </w:pPr>
      <w:r>
        <w:t xml:space="preserve">where:</w:t>
      </w:r>
    </w:p>
    <w:p>
      <w:pPr>
        <w:pStyle w:val="Compact"/>
        <w:numPr>
          <w:ilvl w:val="0"/>
          <w:numId w:val="1005"/>
        </w:numPr>
      </w:pPr>
      <w:r>
        <w:rPr>
          <w:rStyle w:val="VerbatimChar"/>
        </w:rPr>
        <w:t xml:space="preserve">R</w:t>
      </w:r>
      <w:r>
        <w:t xml:space="preserve"> </w:t>
      </w:r>
      <w:r>
        <w:t xml:space="preserve">is the temporal event and authority repository;</w:t>
      </w:r>
    </w:p>
    <w:p>
      <w:pPr>
        <w:pStyle w:val="Compact"/>
        <w:numPr>
          <w:ilvl w:val="0"/>
          <w:numId w:val="1005"/>
        </w:numPr>
      </w:pPr>
      <w:r>
        <w:rPr>
          <w:rStyle w:val="VerbatimChar"/>
        </w:rPr>
        <w:t xml:space="preserve">B</w:t>
      </w:r>
      <w:r>
        <w:t xml:space="preserve"> </w:t>
      </w:r>
      <w:r>
        <w:t xml:space="preserve">contains beliefs, models, commitments, obligations, and policy;</w:t>
      </w:r>
    </w:p>
    <w:p>
      <w:pPr>
        <w:pStyle w:val="Compact"/>
        <w:numPr>
          <w:ilvl w:val="0"/>
          <w:numId w:val="1005"/>
        </w:numPr>
      </w:pPr>
      <w:r>
        <w:rPr>
          <w:rStyle w:val="VerbatimChar"/>
        </w:rPr>
        <w:t xml:space="preserve">S</w:t>
      </w:r>
      <w:r>
        <w:t xml:space="preserve"> </w:t>
      </w:r>
      <w:r>
        <w:t xml:space="preserve">is the substrate interaction boundary;</w:t>
      </w:r>
    </w:p>
    <w:p>
      <w:pPr>
        <w:pStyle w:val="Compact"/>
        <w:numPr>
          <w:ilvl w:val="0"/>
          <w:numId w:val="1005"/>
        </w:numPr>
      </w:pPr>
      <w:r>
        <w:rPr>
          <w:rStyle w:val="VerbatimChar"/>
        </w:rPr>
        <w:t xml:space="preserve">M</w:t>
      </w:r>
      <w:r>
        <w:t xml:space="preserve"> </w:t>
      </w:r>
      <w:r>
        <w:t xml:space="preserve">is the matched-control measurement surface;</w:t>
      </w:r>
    </w:p>
    <w:p>
      <w:pPr>
        <w:pStyle w:val="Compact"/>
        <w:numPr>
          <w:ilvl w:val="0"/>
          <w:numId w:val="1005"/>
        </w:numPr>
      </w:pPr>
      <w:r>
        <w:rPr>
          <w:rStyle w:val="VerbatimChar"/>
        </w:rPr>
        <w:t xml:space="preserve">Theta</w:t>
      </w:r>
      <w:r>
        <w:t xml:space="preserve"> </w:t>
      </w:r>
      <w:r>
        <w:t xml:space="preserve">contains governance, timing, fairness, and claim assumptions.</w:t>
      </w:r>
    </w:p>
    <w:bookmarkEnd w:id="33"/>
    <w:bookmarkStart w:id="37" w:name="temporal-authority-prefix"/>
    <w:p>
      <w:pPr>
        <w:pStyle w:val="Heading1"/>
        <w:keepNext/>
      </w:pPr>
      <w:r>
        <w:t xml:space="preserve">3. Temporal authority prefix</w:t>
      </w:r>
    </w:p>
    <w:bookmarkStart w:id="34" w:name="X08da8071bfabc5a3a9de86695a3b355840c6b36"/>
    <w:p>
      <w:pPr>
        <w:pStyle w:val="Heading2"/>
        <w:keepNext/>
      </w:pPr>
      <w:r>
        <w:t xml:space="preserve">3.1. Raw occurrences and authoritative outcomes</w:t>
      </w:r>
    </w:p>
    <w:p>
      <w:pPr>
        <w:pStyle w:val="FirstParagraph"/>
      </w:pPr>
      <w:r>
        <w:t xml:space="preserve">Invocation and revocation are preserved as separate raw events. A decision is not produced by message-delivery order. It is published only for the next sequentially closable cut.</w:t>
      </w:r>
    </w:p>
    <w:p>
      <w:pPr>
        <w:pStyle w:val="SourceCode"/>
        <w:keepLines/>
        <w:shd w:fill="F3F5F7"/>
      </w:pPr>
      <w:r>
        <w:rPr>
          <w:rStyle w:val="VerbatimChar"/>
          <w:rFonts w:ascii="Cascadia Mono" w:hAnsi="Cascadia Mono"/>
          <w:sz w:val="16"/>
        </w:rPr>
        <w:t xml:space="preserve">next_closable_cut</w:t>
      </w:r>
      <w:r>
        <w:rPr>
          <w:rFonts w:ascii="Cascadia Mono" w:hAnsi="Cascadia Mono"/>
          <w:sz w:val="16"/>
        </w:rPr>
        <w:br/>
      </w:r>
      <w:r>
        <w:rPr>
          <w:rStyle w:val="VerbatimChar"/>
          <w:rFonts w:ascii="Cascadia Mono" w:hAnsi="Cascadia Mono"/>
          <w:sz w:val="16"/>
        </w:rPr>
        <w:t xml:space="preserve">closed_prefix_watermark</w:t>
      </w:r>
      <w:r>
        <w:rPr>
          <w:rFonts w:ascii="Cascadia Mono" w:hAnsi="Cascadia Mono"/>
          <w:sz w:val="16"/>
        </w:rPr>
        <w:br/>
      </w:r>
      <w:r>
        <w:rPr>
          <w:rStyle w:val="VerbatimChar"/>
          <w:rFonts w:ascii="Cascadia Mono" w:hAnsi="Cascadia Mono"/>
          <w:sz w:val="16"/>
        </w:rPr>
        <w:t xml:space="preserve">pending events</w:t>
      </w:r>
    </w:p>
    <w:p>
      <w:pPr>
        <w:pStyle w:val="FirstParagraph"/>
      </w:pPr>
      <w:r>
        <w:t xml:space="preserve">Cut</w:t>
      </w:r>
      <w:r>
        <w:t xml:space="preserve"> </w:t>
      </w:r>
      <w:r>
        <w:rPr>
          <w:rStyle w:val="VerbatimChar"/>
        </w:rPr>
        <w:t xml:space="preserve">n+1</w:t>
      </w:r>
      <w:r>
        <w:t xml:space="preserve"> </w:t>
      </w:r>
      <w:r>
        <w:t xml:space="preserve">cannot be finalised before cut</w:t>
      </w:r>
      <w:r>
        <w:t xml:space="preserve"> </w:t>
      </w:r>
      <w:r>
        <w:rPr>
          <w:rStyle w:val="VerbatimChar"/>
        </w:rPr>
        <w:t xml:space="preserve">n</w:t>
      </w:r>
      <w:r>
        <w:t xml:space="preserve">. An empty cut may be closed explicitly; an unknown prefix cannot be skipped.</w:t>
      </w:r>
    </w:p>
    <w:p>
      <w:pPr>
        <w:pStyle w:val="BodyText"/>
      </w:pPr>
      <w:r>
        <w:t xml:space="preserve">For a capability:</w:t>
      </w:r>
    </w:p>
    <w:p>
      <w:pPr>
        <w:pStyle w:val="SourceCode"/>
        <w:keepLines/>
        <w:shd w:fill="F3F5F7"/>
      </w:pPr>
      <w:r>
        <w:rPr>
          <w:rStyle w:val="VerbatimChar"/>
          <w:rFonts w:ascii="Cascadia Mono" w:hAnsi="Cascadia Mono"/>
          <w:sz w:val="16"/>
        </w:rPr>
        <w:t xml:space="preserve">revocation_cut &lt;= invocation_cut -&gt; REJECTED</w:t>
      </w:r>
      <w:r>
        <w:rPr>
          <w:rFonts w:ascii="Cascadia Mono" w:hAnsi="Cascadia Mono"/>
          <w:sz w:val="16"/>
        </w:rPr>
        <w:br/>
      </w:r>
      <w:r>
        <w:rPr>
          <w:rStyle w:val="VerbatimChar"/>
          <w:rFonts w:ascii="Cascadia Mono" w:hAnsi="Cascadia Mono"/>
          <w:sz w:val="16"/>
        </w:rPr>
        <w:t xml:space="preserve">invocation_cut &lt; earliest_revocation_cut -&gt; AUTHORIZED</w:t>
      </w:r>
    </w:p>
    <w:p>
      <w:pPr>
        <w:pStyle w:val="FirstParagraph"/>
      </w:pPr>
      <w:r>
        <w:t xml:space="preserve">The earliest revocation is a monotonic minimum.</w:t>
      </w:r>
    </w:p>
    <w:bookmarkEnd w:id="34"/>
    <w:bookmarkStart w:id="35" w:name="atomic-cut-publication"/>
    <w:p>
      <w:pPr>
        <w:pStyle w:val="Heading2"/>
        <w:keepNext/>
      </w:pPr>
      <w:r>
        <w:t xml:space="preserve">3.2. Atomic cut publication</w:t>
      </w:r>
    </w:p>
    <w:p>
      <w:pPr>
        <w:pStyle w:val="FirstParagraph"/>
      </w:pPr>
      <w:r>
        <w:t xml:space="preserve">Before mutation, the implementation validates:</w:t>
      </w:r>
    </w:p>
    <w:p>
      <w:pPr>
        <w:pStyle w:val="SourceCode"/>
        <w:keepLines/>
        <w:shd w:fill="F3F5F7"/>
      </w:pPr>
      <w:r>
        <w:rPr>
          <w:rStyle w:val="VerbatimChar"/>
          <w:rFonts w:ascii="Cascadia Mono" w:hAnsi="Cascadia Mono"/>
          <w:sz w:val="16"/>
        </w:rPr>
        <w:t xml:space="preserve">event identities</w:t>
      </w:r>
      <w:r>
        <w:rPr>
          <w:rFonts w:ascii="Cascadia Mono" w:hAnsi="Cascadia Mono"/>
          <w:sz w:val="16"/>
        </w:rPr>
        <w:br/>
      </w:r>
      <w:r>
        <w:rPr>
          <w:rStyle w:val="VerbatimChar"/>
          <w:rFonts w:ascii="Cascadia Mono" w:hAnsi="Cascadia Mono"/>
          <w:sz w:val="16"/>
        </w:rPr>
        <w:t xml:space="preserve">request identities</w:t>
      </w:r>
      <w:r>
        <w:rPr>
          <w:rFonts w:ascii="Cascadia Mono" w:hAnsi="Cascadia Mono"/>
          <w:sz w:val="16"/>
        </w:rPr>
        <w:br/>
      </w:r>
      <w:r>
        <w:rPr>
          <w:rStyle w:val="VerbatimChar"/>
          <w:rFonts w:ascii="Cascadia Mono" w:hAnsi="Cascadia Mono"/>
          <w:sz w:val="16"/>
        </w:rPr>
        <w:t xml:space="preserve">cut consistency</w:t>
      </w:r>
      <w:r>
        <w:rPr>
          <w:rFonts w:ascii="Cascadia Mono" w:hAnsi="Cascadia Mono"/>
          <w:sz w:val="16"/>
        </w:rPr>
        <w:br/>
      </w:r>
      <w:r>
        <w:rPr>
          <w:rStyle w:val="VerbatimChar"/>
          <w:rFonts w:ascii="Cascadia Mono" w:hAnsi="Cascadia Mono"/>
          <w:sz w:val="16"/>
        </w:rPr>
        <w:t xml:space="preserve">capability references</w:t>
      </w:r>
      <w:r>
        <w:rPr>
          <w:rFonts w:ascii="Cascadia Mono" w:hAnsi="Cascadia Mono"/>
          <w:sz w:val="16"/>
        </w:rPr>
        <w:br/>
      </w:r>
      <w:r>
        <w:rPr>
          <w:rStyle w:val="VerbatimChar"/>
          <w:rFonts w:ascii="Cascadia Mono" w:hAnsi="Cascadia Mono"/>
          <w:sz w:val="16"/>
        </w:rPr>
        <w:t xml:space="preserve">exact-retry digest</w:t>
      </w:r>
    </w:p>
    <w:p>
      <w:pPr>
        <w:pStyle w:val="FirstParagraph"/>
      </w:pPr>
      <w:r>
        <w:t xml:space="preserve">New raw events, revocation minima, decisions, audit records, and the closed-cut digest are first built in staged state and then published as one operation. Any refusal leaves authoritative state unchanged.</w:t>
      </w:r>
    </w:p>
    <w:bookmarkEnd w:id="35"/>
    <w:bookmarkStart w:id="36" w:name="reconciliation-claim-ceiling"/>
    <w:p>
      <w:pPr>
        <w:pStyle w:val="Heading2"/>
        <w:keepNext/>
      </w:pPr>
      <w:r>
        <w:t xml:space="preserve">3.3. Reconciliation claim ceiling</w:t>
      </w:r>
    </w:p>
    <w:p>
      <w:pPr>
        <w:pStyle w:val="FirstParagraph"/>
      </w:pPr>
      <w:r>
        <w:t xml:space="preserve">Version</w:t>
      </w:r>
      <w:r>
        <w:t xml:space="preserve"> </w:t>
      </w:r>
      <w:r>
        <w:rPr>
          <w:rStyle w:val="VerbatimChar"/>
        </w:rPr>
        <w:t xml:space="preserve">v0.8</w:t>
      </w:r>
      <w:r>
        <w:t xml:space="preserve"> </w:t>
      </w:r>
      <w:r>
        <w:t xml:space="preserve">deliberately chooses the narrow surface:</w:t>
      </w:r>
    </w:p>
    <w:p>
      <w:pPr>
        <w:pStyle w:val="SourceCode"/>
        <w:keepLines/>
        <w:shd w:fill="F3F5F7"/>
      </w:pPr>
      <w:r>
        <w:rPr>
          <w:rStyle w:val="VerbatimChar"/>
          <w:rFonts w:ascii="Cascadia Mono" w:hAnsi="Cascadia Mono"/>
          <w:sz w:val="16"/>
        </w:rPr>
        <w:t xml:space="preserve">ReconciliationProposalRecord</w:t>
      </w:r>
    </w:p>
    <w:p>
      <w:pPr>
        <w:pStyle w:val="FirstParagraph"/>
      </w:pPr>
      <w:r>
        <w:t xml:space="preserve">This is an immutable proposal and audit record. It is not proof of a common successor, complete mapping, or a correct merge. Full semantic reconciliation requires a separate formal theory.</w:t>
      </w:r>
    </w:p>
    <w:bookmarkEnd w:id="36"/>
    <w:bookmarkEnd w:id="37"/>
    <w:bookmarkStart w:id="41" w:name="obligations-and-evidence"/>
    <w:p>
      <w:pPr>
        <w:pStyle w:val="Heading1"/>
        <w:keepNext/>
      </w:pPr>
      <w:r>
        <w:t xml:space="preserve">4. Obligations and evidence</w:t>
      </w:r>
    </w:p>
    <w:bookmarkStart w:id="38" w:name="canonical-creation"/>
    <w:p>
      <w:pPr>
        <w:pStyle w:val="Heading2"/>
        <w:keepNext/>
      </w:pPr>
      <w:r>
        <w:t xml:space="preserve">4.1. Canonical creation</w:t>
      </w:r>
    </w:p>
    <w:p>
      <w:pPr>
        <w:pStyle w:val="FirstParagraph"/>
      </w:pPr>
      <w:r>
        <w:t xml:space="preserve">Public creation accepts only a canonical token:</w:t>
      </w:r>
    </w:p>
    <w:p>
      <w:pPr>
        <w:pStyle w:val="SourceCode"/>
        <w:keepLines/>
        <w:shd w:fill="F3F5F7"/>
      </w:pPr>
      <w:r>
        <w:rPr>
          <w:rStyle w:val="VerbatimChar"/>
          <w:rFonts w:ascii="Cascadia Mono" w:hAnsi="Cascadia Mono"/>
          <w:sz w:val="16"/>
        </w:rPr>
        <w:t xml:space="preserve">status = CREATED</w:t>
      </w:r>
      <w:r>
        <w:rPr>
          <w:rFonts w:ascii="Cascadia Mono" w:hAnsi="Cascadia Mono"/>
          <w:sz w:val="16"/>
        </w:rPr>
        <w:br/>
      </w:r>
      <w:r>
        <w:rPr>
          <w:rStyle w:val="VerbatimChar"/>
          <w:rFonts w:ascii="Cascadia Mono" w:hAnsi="Cascadia Mono"/>
          <w:sz w:val="16"/>
        </w:rPr>
        <w:t xml:space="preserve">no terminal evidence</w:t>
      </w:r>
      <w:r>
        <w:rPr>
          <w:rFonts w:ascii="Cascadia Mono" w:hAnsi="Cascadia Mono"/>
          <w:sz w:val="16"/>
        </w:rPr>
        <w:br/>
      </w:r>
      <w:r>
        <w:rPr>
          <w:rStyle w:val="VerbatimChar"/>
          <w:rFonts w:ascii="Cascadia Mono" w:hAnsi="Cascadia Mono"/>
          <w:sz w:val="16"/>
        </w:rPr>
        <w:t xml:space="preserve">no transfer lineage</w:t>
      </w:r>
      <w:r>
        <w:rPr>
          <w:rFonts w:ascii="Cascadia Mono" w:hAnsi="Cascadia Mono"/>
          <w:sz w:val="16"/>
        </w:rPr>
        <w:br/>
      </w:r>
      <w:r>
        <w:rPr>
          <w:rStyle w:val="VerbatimChar"/>
          <w:rFonts w:ascii="Cascadia Mono" w:hAnsi="Cascadia Mono"/>
          <w:sz w:val="16"/>
        </w:rPr>
        <w:t xml:space="preserve">no escalation fields</w:t>
      </w:r>
      <w:r>
        <w:rPr>
          <w:rFonts w:ascii="Cascadia Mono" w:hAnsi="Cascadia Mono"/>
          <w:sz w:val="16"/>
        </w:rPr>
        <w:br/>
      </w:r>
      <w:r>
        <w:rPr>
          <w:rStyle w:val="VerbatimChar"/>
          <w:rFonts w:ascii="Cascadia Mono" w:hAnsi="Cascadia Mono"/>
          <w:sz w:val="16"/>
        </w:rPr>
        <w:t xml:space="preserve">no prior audit</w:t>
      </w:r>
    </w:p>
    <w:p>
      <w:pPr>
        <w:pStyle w:val="FirstParagraph"/>
      </w:pPr>
      <w:r>
        <w:t xml:space="preserve">A terminal status can arise only through a validated transition.</w:t>
      </w:r>
    </w:p>
    <w:bookmarkEnd w:id="38"/>
    <w:bookmarkStart w:id="39" w:name="normative-debtor-and-operational-handler"/>
    <w:p>
      <w:pPr>
        <w:pStyle w:val="Heading2"/>
        <w:keepNext/>
      </w:pPr>
      <w:r>
        <w:t xml:space="preserve">4.2. Normative debtor and operational handler</w:t>
      </w:r>
    </w:p>
    <w:p>
      <w:pPr>
        <w:pStyle w:val="FirstParagraph"/>
      </w:pPr>
      <w:r>
        <w:t xml:space="preserve">Escalation is not transfer. The model therefore distinguishes:</w:t>
      </w:r>
    </w:p>
    <w:p>
      <w:pPr>
        <w:pStyle w:val="SourceCode"/>
        <w:keepLines/>
        <w:shd w:fill="F3F5F7"/>
      </w:pPr>
      <w:r>
        <w:rPr>
          <w:rStyle w:val="VerbatimChar"/>
          <w:rFonts w:ascii="Cascadia Mono" w:hAnsi="Cascadia Mono"/>
          <w:sz w:val="16"/>
        </w:rPr>
        <w:t xml:space="preserve">normative_debtor</w:t>
      </w:r>
      <w:r>
        <w:rPr>
          <w:rFonts w:ascii="Cascadia Mono" w:hAnsi="Cascadia Mono"/>
          <w:sz w:val="16"/>
        </w:rPr>
        <w:br/>
      </w:r>
      <w:r>
        <w:rPr>
          <w:rStyle w:val="VerbatimChar"/>
          <w:rFonts w:ascii="Cascadia Mono" w:hAnsi="Cascadia Mono"/>
          <w:sz w:val="16"/>
        </w:rPr>
        <w:t xml:space="preserve">operational_handler</w:t>
      </w:r>
    </w:p>
    <w:p>
      <w:pPr>
        <w:pStyle w:val="FirstParagraph"/>
      </w:pPr>
      <w:r>
        <w:t xml:space="preserve">Escalation may assign a handler but does not release the debtor. Changing the normative debtor requires an authority request, bound evidence, named acceptance, a unique successor token, and old-to-new lineage.</w:t>
      </w:r>
    </w:p>
    <w:bookmarkEnd w:id="39"/>
    <w:bookmarkStart w:id="40" w:name="evidence-identity"/>
    <w:p>
      <w:pPr>
        <w:pStyle w:val="Heading2"/>
        <w:keepNext/>
      </w:pPr>
      <w:r>
        <w:t xml:space="preserve">4.3. Evidence identity</w:t>
      </w:r>
    </w:p>
    <w:p>
      <w:pPr>
        <w:pStyle w:val="FirstParagraph"/>
      </w:pPr>
      <w:r>
        <w:t xml:space="preserve">Every evidence item has an immutable content digest and exactly one current status:</w:t>
      </w:r>
    </w:p>
    <w:p>
      <w:pPr>
        <w:pStyle w:val="SourceCode"/>
        <w:keepLines/>
        <w:shd w:fill="F3F5F7"/>
      </w:pPr>
      <w:r>
        <w:rPr>
          <w:rStyle w:val="VerbatimChar"/>
          <w:rFonts w:ascii="Cascadia Mono" w:hAnsi="Cascadia Mono"/>
          <w:sz w:val="16"/>
        </w:rPr>
        <w:t xml:space="preserve">ACCEPTED</w:t>
      </w:r>
      <w:r>
        <w:rPr>
          <w:rFonts w:ascii="Cascadia Mono" w:hAnsi="Cascadia Mono"/>
          <w:sz w:val="16"/>
        </w:rPr>
        <w:br/>
      </w:r>
      <w:r>
        <w:rPr>
          <w:rStyle w:val="VerbatimChar"/>
          <w:rFonts w:ascii="Cascadia Mono" w:hAnsi="Cascadia Mono"/>
          <w:sz w:val="16"/>
        </w:rPr>
        <w:t xml:space="preserve">PROVISIONAL</w:t>
      </w:r>
      <w:r>
        <w:rPr>
          <w:rFonts w:ascii="Cascadia Mono" w:hAnsi="Cascadia Mono"/>
          <w:sz w:val="16"/>
        </w:rPr>
        <w:br/>
      </w:r>
      <w:r>
        <w:rPr>
          <w:rStyle w:val="VerbatimChar"/>
          <w:rFonts w:ascii="Cascadia Mono" w:hAnsi="Cascadia Mono"/>
          <w:sz w:val="16"/>
        </w:rPr>
        <w:t xml:space="preserve">CONTESTED</w:t>
      </w:r>
      <w:r>
        <w:rPr>
          <w:rFonts w:ascii="Cascadia Mono" w:hAnsi="Cascadia Mono"/>
          <w:sz w:val="16"/>
        </w:rPr>
        <w:br/>
      </w:r>
      <w:r>
        <w:rPr>
          <w:rStyle w:val="VerbatimChar"/>
          <w:rFonts w:ascii="Cascadia Mono" w:hAnsi="Cascadia Mono"/>
          <w:sz w:val="16"/>
        </w:rPr>
        <w:t xml:space="preserve">QUARANTINED</w:t>
      </w:r>
      <w:r>
        <w:rPr>
          <w:rFonts w:ascii="Cascadia Mono" w:hAnsi="Cascadia Mono"/>
          <w:sz w:val="16"/>
        </w:rPr>
        <w:br/>
      </w:r>
      <w:r>
        <w:rPr>
          <w:rStyle w:val="VerbatimChar"/>
          <w:rFonts w:ascii="Cascadia Mono" w:hAnsi="Cascadia Mono"/>
          <w:sz w:val="16"/>
        </w:rPr>
        <w:t xml:space="preserve">REJECTED</w:t>
      </w:r>
    </w:p>
    <w:p>
      <w:pPr>
        <w:pStyle w:val="FirstParagraph"/>
      </w:pPr>
      <w:r>
        <w:t xml:space="preserve">Transitions are append-only. One</w:t>
      </w:r>
      <w:r>
        <w:t xml:space="preserve"> </w:t>
      </w:r>
      <w:r>
        <w:rPr>
          <w:rStyle w:val="VerbatimChar"/>
        </w:rPr>
        <w:t xml:space="preserve">evidence_id</w:t>
      </w:r>
      <w:r>
        <w:t xml:space="preserve"> </w:t>
      </w:r>
      <w:r>
        <w:t xml:space="preserve">cannot later be rebound to a different claim, source, reliability value, or payload. Aggregation of multiple evidence items for one claim is handled by a separate policy; it does not turn one item into several simultaneous current states.</w:t>
      </w:r>
    </w:p>
    <w:bookmarkEnd w:id="40"/>
    <w:bookmarkEnd w:id="41"/>
    <w:bookmarkStart w:id="42" w:name="selective-operational-commitment"/>
    <w:p>
      <w:pPr>
        <w:pStyle w:val="Heading1"/>
        <w:keepNext/>
      </w:pPr>
      <w:r>
        <w:t xml:space="preserve">5. Selective Operational Commitment</w:t>
      </w:r>
    </w:p>
    <w:p>
      <w:pPr>
        <w:pStyle w:val="FirstParagraph"/>
      </w:pPr>
      <w:r>
        <w:rPr>
          <w:rStyle w:val="VerbatimChar"/>
        </w:rPr>
        <w:t xml:space="preserve">SOC</w:t>
      </w:r>
      <w:r>
        <w:t xml:space="preserve"> </w:t>
      </w:r>
      <w:r>
        <w:t xml:space="preserve">is a governance and provenance layer over a declared robust decision rule, not a new universal theory of decision-making.</w:t>
      </w:r>
    </w:p>
    <w:p>
      <w:pPr>
        <w:pStyle w:val="BodyText"/>
      </w:pPr>
      <w:r>
        <w:t xml:space="preserve">Version</w:t>
      </w:r>
      <w:r>
        <w:t xml:space="preserve"> </w:t>
      </w:r>
      <w:r>
        <w:rPr>
          <w:rStyle w:val="VerbatimChar"/>
        </w:rPr>
        <w:t xml:space="preserve">v0.8</w:t>
      </w:r>
      <w:r>
        <w:t xml:space="preserve"> </w:t>
      </w:r>
      <w:r>
        <w:t xml:space="preserve">separates:</w:t>
      </w:r>
    </w:p>
    <w:p>
      <w:pPr>
        <w:pStyle w:val="SourceCode"/>
        <w:keepLines/>
        <w:shd w:fill="F3F5F7"/>
      </w:pPr>
      <w:r>
        <w:rPr>
          <w:rStyle w:val="VerbatimChar"/>
          <w:rFonts w:ascii="Cascadia Mono" w:hAnsi="Cascadia Mono"/>
          <w:sz w:val="16"/>
        </w:rPr>
        <w:t xml:space="preserve">domain action</w:t>
      </w:r>
      <w:r>
        <w:rPr>
          <w:rFonts w:ascii="Cascadia Mono" w:hAnsi="Cascadia Mono"/>
          <w:sz w:val="16"/>
        </w:rPr>
        <w:br/>
      </w:r>
      <w:r>
        <w:rPr>
          <w:rStyle w:val="VerbatimChar"/>
          <w:rFonts w:ascii="Cascadia Mono" w:hAnsi="Cascadia Mono"/>
          <w:sz w:val="16"/>
        </w:rPr>
        <w:t xml:space="preserve">governance transition</w:t>
      </w:r>
    </w:p>
    <w:p>
      <w:pPr>
        <w:pStyle w:val="FirstParagraph"/>
      </w:pPr>
      <w:r>
        <w:t xml:space="preserve">Every returned result is typed. A domain action belongs to the frozen set</w:t>
      </w:r>
      <w:r>
        <w:t xml:space="preserve"> </w:t>
      </w:r>
      <w:r>
        <w:rPr>
          <w:rStyle w:val="VerbatimChar"/>
        </w:rPr>
        <w:t xml:space="preserve">A0</w:t>
      </w:r>
      <w:r>
        <w:t xml:space="preserve"> </w:t>
      </w:r>
      <w:r>
        <w:t xml:space="preserve">and has losses under every admitted model.</w:t>
      </w:r>
      <w:r>
        <w:t xml:space="preserve"> </w:t>
      </w:r>
      <w:r>
        <w:rPr>
          <w:rStyle w:val="VerbatimChar"/>
        </w:rPr>
        <w:t xml:space="preserve">ACQUIRE_INFORMATION</w:t>
      </w:r>
      <w:r>
        <w:t xml:space="preserve"> </w:t>
      </w:r>
      <w:r>
        <w:t xml:space="preserve">and</w:t>
      </w:r>
      <w:r>
        <w:t xml:space="preserve"> </w:t>
      </w:r>
      <w:r>
        <w:rPr>
          <w:rStyle w:val="VerbatimChar"/>
        </w:rPr>
        <w:t xml:space="preserve">ESCALATE</w:t>
      </w:r>
      <w:r>
        <w:t xml:space="preserve"> </w:t>
      </w:r>
      <w:r>
        <w:t xml:space="preserve">are separate governance transitions with their own hard-safety contract.</w:t>
      </w:r>
    </w:p>
    <w:p>
      <w:pPr>
        <w:pStyle w:val="BodyText"/>
      </w:pPr>
      <w:r>
        <w:t xml:space="preserve">The order is:</w:t>
      </w:r>
    </w:p>
    <w:p>
      <w:pPr>
        <w:pStyle w:val="Compact"/>
        <w:numPr>
          <w:ilvl w:val="0"/>
          <w:numId w:val="1006"/>
        </w:numPr>
      </w:pPr>
      <w:r>
        <w:t xml:space="preserve">freeze admitted models and the complete domain-action set;</w:t>
      </w:r>
    </w:p>
    <w:p>
      <w:pPr>
        <w:pStyle w:val="Compact"/>
        <w:numPr>
          <w:ilvl w:val="0"/>
          <w:numId w:val="1006"/>
        </w:numPr>
      </w:pPr>
      <w:r>
        <w:t xml:space="preserve">validate losses and identifiers;</w:t>
      </w:r>
    </w:p>
    <w:p>
      <w:pPr>
        <w:pStyle w:val="Compact"/>
        <w:numPr>
          <w:ilvl w:val="0"/>
          <w:numId w:val="1006"/>
        </w:numPr>
      </w:pPr>
      <w:r>
        <w:t xml:space="preserve">compute hard-safe domain actions under every model;</w:t>
      </w:r>
    </w:p>
    <w:p>
      <w:pPr>
        <w:pStyle w:val="Compact"/>
        <w:numPr>
          <w:ilvl w:val="0"/>
          <w:numId w:val="1006"/>
        </w:numPr>
      </w:pPr>
      <w:r>
        <w:t xml:space="preserve">validate governance transitions under every model;</w:t>
      </w:r>
    </w:p>
    <w:p>
      <w:pPr>
        <w:pStyle w:val="Compact"/>
        <w:numPr>
          <w:ilvl w:val="0"/>
          <w:numId w:val="1006"/>
        </w:numPr>
      </w:pPr>
      <w:r>
        <w:t xml:space="preserve">compute relevance only for reporting;</w:t>
      </w:r>
    </w:p>
    <w:p>
      <w:pPr>
        <w:pStyle w:val="Compact"/>
        <w:numPr>
          <w:ilvl w:val="0"/>
          <w:numId w:val="1006"/>
        </w:numPr>
      </w:pPr>
      <w:r>
        <w:t xml:space="preserve">apply the frozen EVI, delay, and deadline policy;</w:t>
      </w:r>
    </w:p>
    <w:p>
      <w:pPr>
        <w:pStyle w:val="Compact"/>
        <w:numPr>
          <w:ilvl w:val="0"/>
          <w:numId w:val="1006"/>
        </w:numPr>
      </w:pPr>
      <w:r>
        <w:t xml:space="preserve">emit a typed decision and review trigger.</w:t>
      </w:r>
    </w:p>
    <w:p>
      <w:pPr>
        <w:pStyle w:val="FirstParagraph"/>
      </w:pPr>
      <w:r>
        <w:t xml:space="preserve">Low relevance cannot remove a model from hard-safety evaluation.</w:t>
      </w:r>
    </w:p>
    <w:bookmarkEnd w:id="42"/>
    <w:bookmarkStart w:id="47" w:name="physical-boundary-and-sioc"/>
    <w:p>
      <w:pPr>
        <w:pStyle w:val="Heading1"/>
        <w:keepNext/>
      </w:pPr>
      <w:r>
        <w:t xml:space="preserve">6. Physical boundary and SIOC</w:t>
      </w:r>
    </w:p>
    <w:bookmarkStart w:id="43" w:name="server-derived-effect-class"/>
    <w:p>
      <w:pPr>
        <w:pStyle w:val="Heading2"/>
        <w:keepNext/>
      </w:pPr>
      <w:r>
        <w:t xml:space="preserve">6.1. Server-derived effect class</w:t>
      </w:r>
    </w:p>
    <w:p>
      <w:pPr>
        <w:pStyle w:val="FirstParagraph"/>
      </w:pPr>
      <w:r>
        <w:t xml:space="preserve">An immutable registry binds:</w:t>
      </w:r>
    </w:p>
    <w:p>
      <w:pPr>
        <w:pStyle w:val="SourceCode"/>
        <w:keepLines/>
        <w:shd w:fill="F3F5F7"/>
      </w:pPr>
      <w:r>
        <w:rPr>
          <w:rStyle w:val="VerbatimChar"/>
          <w:rFonts w:ascii="Cascadia Mono" w:hAnsi="Cascadia Mono"/>
          <w:sz w:val="16"/>
        </w:rPr>
        <w:t xml:space="preserve">command + instrument/version</w:t>
      </w:r>
      <w:r>
        <w:rPr>
          <w:rFonts w:ascii="Cascadia Mono" w:hAnsi="Cascadia Mono"/>
          <w:sz w:val="16"/>
        </w:rPr>
        <w:br/>
      </w:r>
      <w:r>
        <w:rPr>
          <w:rStyle w:val="VerbatimChar"/>
          <w:rFonts w:ascii="Cascadia Mono" w:hAnsi="Cascadia Mono"/>
          <w:sz w:val="16"/>
        </w:rPr>
        <w:t xml:space="preserve">-&gt; effect class</w:t>
      </w:r>
      <w:r>
        <w:rPr>
          <w:rFonts w:ascii="Cascadia Mono" w:hAnsi="Cascadia Mono"/>
          <w:sz w:val="16"/>
        </w:rPr>
        <w:br/>
      </w:r>
      <w:r>
        <w:rPr>
          <w:rStyle w:val="VerbatimChar"/>
          <w:rFonts w:ascii="Cascadia Mono" w:hAnsi="Cascadia Mono"/>
          <w:sz w:val="16"/>
        </w:rPr>
        <w:t xml:space="preserve">-&gt; effect budget</w:t>
      </w:r>
      <w:r>
        <w:rPr>
          <w:rFonts w:ascii="Cascadia Mono" w:hAnsi="Cascadia Mono"/>
          <w:sz w:val="16"/>
        </w:rPr>
        <w:br/>
      </w:r>
      <w:r>
        <w:rPr>
          <w:rStyle w:val="VerbatimChar"/>
          <w:rFonts w:ascii="Cascadia Mono" w:hAnsi="Cascadia Mono"/>
          <w:sz w:val="16"/>
        </w:rPr>
        <w:t xml:space="preserve">-&gt; required scope</w:t>
      </w:r>
    </w:p>
    <w:p>
      <w:pPr>
        <w:pStyle w:val="FirstParagraph"/>
      </w:pPr>
      <w:r>
        <w:t xml:space="preserve">The caller does not decide whether an operation is passive.</w:t>
      </w:r>
    </w:p>
    <w:bookmarkEnd w:id="43"/>
    <w:bookmarkStart w:id="44" w:name="request-identity"/>
    <w:p>
      <w:pPr>
        <w:pStyle w:val="Heading2"/>
        <w:keepNext/>
      </w:pPr>
      <w:r>
        <w:t xml:space="preserve">6.2. Request identity</w:t>
      </w:r>
    </w:p>
    <w:p>
      <w:pPr>
        <w:pStyle w:val="FirstParagraph"/>
      </w:pPr>
      <w:r>
        <w:t xml:space="preserve">One registry binds the first canonical request digest to the outcome, whether the request was accepted or rejected:</w:t>
      </w:r>
    </w:p>
    <w:p>
      <w:pPr>
        <w:pStyle w:val="SourceCode"/>
        <w:keepLines/>
        <w:shd w:fill="F3F5F7"/>
      </w:pPr>
      <w:r>
        <w:rPr>
          <w:rStyle w:val="VerbatimChar"/>
          <w:rFonts w:ascii="Cascadia Mono" w:hAnsi="Cascadia Mono"/>
          <w:sz w:val="16"/>
        </w:rPr>
        <w:t xml:space="preserve">request_id</w:t>
      </w:r>
      <w:r>
        <w:rPr>
          <w:rFonts w:ascii="Cascadia Mono" w:hAnsi="Cascadia Mono"/>
          <w:sz w:val="16"/>
        </w:rPr>
        <w:br/>
      </w:r>
      <w:r>
        <w:rPr>
          <w:rStyle w:val="VerbatimChar"/>
          <w:rFonts w:ascii="Cascadia Mono" w:hAnsi="Cascadia Mono"/>
          <w:sz w:val="16"/>
        </w:rPr>
        <w:t xml:space="preserve">first digest</w:t>
      </w:r>
      <w:r>
        <w:rPr>
          <w:rFonts w:ascii="Cascadia Mono" w:hAnsi="Cascadia Mono"/>
          <w:sz w:val="16"/>
        </w:rPr>
        <w:br/>
      </w:r>
      <w:r>
        <w:rPr>
          <w:rStyle w:val="VerbatimChar"/>
          <w:rFonts w:ascii="Cascadia Mono" w:hAnsi="Cascadia Mono"/>
          <w:sz w:val="16"/>
        </w:rPr>
        <w:t xml:space="preserve">terminal receipt</w:t>
      </w:r>
    </w:p>
    <w:p>
      <w:pPr>
        <w:pStyle w:val="FirstParagraph"/>
      </w:pPr>
      <w:r>
        <w:t xml:space="preserve">An exact retry returns the same receipt. A changed digest receives</w:t>
      </w:r>
      <w:r>
        <w:t xml:space="preserve"> </w:t>
      </w:r>
      <w:r>
        <w:rPr>
          <w:rStyle w:val="VerbatimChar"/>
        </w:rPr>
        <w:t xml:space="preserve">REQUEST_ID_MISMATCH</w:t>
      </w:r>
      <w:r>
        <w:t xml:space="preserve"> </w:t>
      </w:r>
      <w:r>
        <w:t xml:space="preserve">before nonce claim or effect.</w:t>
      </w:r>
    </w:p>
    <w:bookmarkEnd w:id="44"/>
    <w:bookmarkStart w:id="45" w:name="formal-authority-to-physical-effect"/>
    <w:p>
      <w:pPr>
        <w:pStyle w:val="Heading2"/>
        <w:keepNext/>
      </w:pPr>
      <w:r>
        <w:t xml:space="preserve">6.3. Formal authority to physical effect</w:t>
      </w:r>
    </w:p>
    <w:p>
      <w:pPr>
        <w:pStyle w:val="FirstParagraph"/>
      </w:pPr>
      <w:r>
        <w:t xml:space="preserve">An effectful request requires a durable</w:t>
      </w:r>
      <w:r>
        <w:t xml:space="preserve"> </w:t>
      </w:r>
      <w:r>
        <w:rPr>
          <w:rStyle w:val="VerbatimChar"/>
        </w:rPr>
        <w:t xml:space="preserve">AuthorityAuthorization</w:t>
      </w:r>
      <w:r>
        <w:t xml:space="preserve"> </w:t>
      </w:r>
      <w:r>
        <w:t xml:space="preserve">bound to:</w:t>
      </w:r>
    </w:p>
    <w:p>
      <w:pPr>
        <w:pStyle w:val="SourceCode"/>
        <w:keepLines/>
        <w:shd w:fill="F3F5F7"/>
      </w:pPr>
      <w:r>
        <w:rPr>
          <w:rStyle w:val="VerbatimChar"/>
          <w:rFonts w:ascii="Cascadia Mono" w:hAnsi="Cascadia Mono"/>
          <w:sz w:val="16"/>
        </w:rPr>
        <w:t xml:space="preserve">decision ID and digest</w:t>
      </w:r>
      <w:r>
        <w:rPr>
          <w:rFonts w:ascii="Cascadia Mono" w:hAnsi="Cascadia Mono"/>
          <w:sz w:val="16"/>
        </w:rPr>
        <w:br/>
      </w:r>
      <w:r>
        <w:rPr>
          <w:rStyle w:val="VerbatimChar"/>
          <w:rFonts w:ascii="Cascadia Mono" w:hAnsi="Cascadia Mono"/>
          <w:sz w:val="16"/>
        </w:rPr>
        <w:t xml:space="preserve">closed-prefix digest</w:t>
      </w:r>
      <w:r>
        <w:rPr>
          <w:rFonts w:ascii="Cascadia Mono" w:hAnsi="Cascadia Mono"/>
          <w:sz w:val="16"/>
        </w:rPr>
        <w:br/>
      </w:r>
      <w:r>
        <w:rPr>
          <w:rStyle w:val="VerbatimChar"/>
          <w:rFonts w:ascii="Cascadia Mono" w:hAnsi="Cascadia Mono"/>
          <w:sz w:val="16"/>
        </w:rPr>
        <w:t xml:space="preserve">request digest</w:t>
      </w:r>
      <w:r>
        <w:rPr>
          <w:rFonts w:ascii="Cascadia Mono" w:hAnsi="Cascadia Mono"/>
          <w:sz w:val="16"/>
        </w:rPr>
        <w:br/>
      </w:r>
      <w:r>
        <w:rPr>
          <w:rStyle w:val="VerbatimChar"/>
          <w:rFonts w:ascii="Cascadia Mono" w:hAnsi="Cascadia Mono"/>
          <w:sz w:val="16"/>
        </w:rPr>
        <w:t xml:space="preserve">capability and version</w:t>
      </w:r>
      <w:r>
        <w:rPr>
          <w:rFonts w:ascii="Cascadia Mono" w:hAnsi="Cascadia Mono"/>
          <w:sz w:val="16"/>
        </w:rPr>
        <w:br/>
      </w:r>
      <w:r>
        <w:rPr>
          <w:rStyle w:val="VerbatimChar"/>
          <w:rFonts w:ascii="Cascadia Mono" w:hAnsi="Cascadia Mono"/>
          <w:sz w:val="16"/>
        </w:rPr>
        <w:t xml:space="preserve">cut</w:t>
      </w:r>
      <w:r>
        <w:rPr>
          <w:rFonts w:ascii="Cascadia Mono" w:hAnsi="Cascadia Mono"/>
          <w:sz w:val="16"/>
        </w:rPr>
        <w:br/>
      </w:r>
      <w:r>
        <w:rPr>
          <w:rStyle w:val="VerbatimChar"/>
          <w:rFonts w:ascii="Cascadia Mono" w:hAnsi="Cascadia Mono"/>
          <w:sz w:val="16"/>
        </w:rPr>
        <w:t xml:space="preserve">effect ID</w:t>
      </w:r>
    </w:p>
    <w:p>
      <w:pPr>
        <w:pStyle w:val="FirstParagraph"/>
      </w:pPr>
      <w:r>
        <w:t xml:space="preserve">The decision is not its own root of trust. The monitor receives a separate</w:t>
      </w:r>
      <w:r>
        <w:t xml:space="preserve"> </w:t>
      </w:r>
      <w:r>
        <w:rPr>
          <w:rStyle w:val="VerbatimChar"/>
        </w:rPr>
        <w:t xml:space="preserve">AuthorityPrefixSnapshot</w:t>
      </w:r>
      <w:r>
        <w:t xml:space="preserve"> </w:t>
      </w:r>
      <w:r>
        <w:t xml:space="preserve">and compares the closed cut, prefix digest, and authority source. A self-consistent decision from a foreign prefix fails.</w:t>
      </w:r>
    </w:p>
    <w:p>
      <w:pPr>
        <w:pStyle w:val="BodyText"/>
      </w:pPr>
      <w:r>
        <w:t xml:space="preserve">Missing, rejected, stale, or mismatched authorisation produces zero effect. The SQLite reference monitor publishes request binding, nonce, effect, receipt, and audit inside one</w:t>
      </w:r>
      <w:r>
        <w:t xml:space="preserve"> </w:t>
      </w:r>
      <w:r>
        <w:rPr>
          <w:rStyle w:val="VerbatimChar"/>
        </w:rPr>
        <w:t xml:space="preserve">BEGIN IMMEDIATE</w:t>
      </w:r>
      <w:r>
        <w:t xml:space="preserve"> </w:t>
      </w:r>
      <w:r>
        <w:t xml:space="preserve">transaction. This is reference semantics, not production actuator certification.</w:t>
      </w:r>
    </w:p>
    <w:bookmarkEnd w:id="45"/>
    <w:bookmarkStart w:id="46" w:name="quantum-profile"/>
    <w:p>
      <w:pPr>
        <w:pStyle w:val="Heading2"/>
        <w:keepNext/>
      </w:pPr>
      <w:r>
        <w:t xml:space="preserve">6.4. Quantum profile</w:t>
      </w:r>
    </w:p>
    <w:p>
      <w:pPr>
        <w:pStyle w:val="FirstParagraph"/>
      </w:pPr>
      <w:r>
        <w:t xml:space="preserve">Quantum readout is specified through instrument, channel, preparation, and measurement accounting. The implementation checks density-matrix validity, Kraus completeness, outcome normalisation, and non-negative trial accounting. This is a mathematical interface, not evidence for quantum consciousness or quantum advantage.</w:t>
      </w:r>
    </w:p>
    <w:bookmarkEnd w:id="46"/>
    <w:bookmarkEnd w:id="47"/>
    <w:bookmarkStart w:id="51" w:name="sealed-measurement-and-analysis"/>
    <w:p>
      <w:pPr>
        <w:pStyle w:val="Heading1"/>
        <w:keepNext/>
      </w:pPr>
      <w:r>
        <w:t xml:space="preserve">7. Sealed measurement and analysis</w:t>
      </w:r>
    </w:p>
    <w:bookmarkStart w:id="48" w:name="assignment-identity"/>
    <w:p>
      <w:pPr>
        <w:pStyle w:val="Heading2"/>
        <w:keepNext/>
      </w:pPr>
      <w:r>
        <w:t xml:space="preserve">7.1. Assignment identity</w:t>
      </w:r>
    </w:p>
    <w:p>
      <w:pPr>
        <w:pStyle w:val="FirstParagraph"/>
      </w:pPr>
      <w:r>
        <w:rPr>
          <w:rStyle w:val="VerbatimChar"/>
        </w:rPr>
        <w:t xml:space="preserve">assignment_id</w:t>
      </w:r>
      <w:r>
        <w:t xml:space="preserve"> </w:t>
      </w:r>
      <w:r>
        <w:t xml:space="preserve">is bound to a canonical digest covering:</w:t>
      </w:r>
    </w:p>
    <w:p>
      <w:pPr>
        <w:pStyle w:val="SourceCode"/>
        <w:keepLines/>
        <w:shd w:fill="F3F5F7"/>
      </w:pPr>
      <w:r>
        <w:rPr>
          <w:rStyle w:val="VerbatimChar"/>
          <w:rFonts w:ascii="Cascadia Mono" w:hAnsi="Cascadia Mono"/>
          <w:sz w:val="16"/>
        </w:rPr>
        <w:t xml:space="preserve">block</w:t>
      </w:r>
      <w:r>
        <w:rPr>
          <w:rFonts w:ascii="Cascadia Mono" w:hAnsi="Cascadia Mono"/>
          <w:sz w:val="16"/>
        </w:rPr>
        <w:br/>
      </w:r>
      <w:r>
        <w:rPr>
          <w:rStyle w:val="VerbatimChar"/>
          <w:rFonts w:ascii="Cascadia Mono" w:hAnsi="Cascadia Mono"/>
          <w:sz w:val="16"/>
        </w:rPr>
        <w:t xml:space="preserve">arm</w:t>
      </w:r>
      <w:r>
        <w:rPr>
          <w:rFonts w:ascii="Cascadia Mono" w:hAnsi="Cascadia Mono"/>
          <w:sz w:val="16"/>
        </w:rPr>
        <w:br/>
      </w:r>
      <w:r>
        <w:rPr>
          <w:rStyle w:val="VerbatimChar"/>
          <w:rFonts w:ascii="Cascadia Mono" w:hAnsi="Cascadia Mono"/>
          <w:sz w:val="16"/>
        </w:rPr>
        <w:t xml:space="preserve">task version</w:t>
      </w:r>
      <w:r>
        <w:rPr>
          <w:rFonts w:ascii="Cascadia Mono" w:hAnsi="Cascadia Mono"/>
          <w:sz w:val="16"/>
        </w:rPr>
        <w:br/>
      </w:r>
      <w:r>
        <w:rPr>
          <w:rStyle w:val="VerbatimChar"/>
          <w:rFonts w:ascii="Cascadia Mono" w:hAnsi="Cascadia Mono"/>
          <w:sz w:val="16"/>
        </w:rPr>
        <w:t xml:space="preserve">ordered opportunity specifications</w:t>
      </w:r>
      <w:r>
        <w:rPr>
          <w:rFonts w:ascii="Cascadia Mono" w:hAnsi="Cascadia Mono"/>
          <w:sz w:val="16"/>
        </w:rPr>
        <w:br/>
      </w:r>
      <w:r>
        <w:rPr>
          <w:rStyle w:val="VerbatimChar"/>
          <w:rFonts w:ascii="Cascadia Mono" w:hAnsi="Cascadia Mono"/>
          <w:sz w:val="16"/>
        </w:rPr>
        <w:t xml:space="preserve">oracle-unresolvable metadata</w:t>
      </w:r>
      <w:r>
        <w:rPr>
          <w:rFonts w:ascii="Cascadia Mono" w:hAnsi="Cascadia Mono"/>
          <w:sz w:val="16"/>
        </w:rPr>
        <w:br/>
      </w:r>
      <w:r>
        <w:rPr>
          <w:rStyle w:val="VerbatimChar"/>
          <w:rFonts w:ascii="Cascadia Mono" w:hAnsi="Cascadia Mono"/>
          <w:sz w:val="16"/>
        </w:rPr>
        <w:t xml:space="preserve">scoring configuration</w:t>
      </w:r>
    </w:p>
    <w:p>
      <w:pPr>
        <w:pStyle w:val="FirstParagraph"/>
      </w:pPr>
      <w:r>
        <w:t xml:space="preserve">Changing the denominator or oracle metadata changes the digest and is rejected by the external registry.</w:t>
      </w:r>
    </w:p>
    <w:bookmarkEnd w:id="48"/>
    <w:bookmarkStart w:id="49" w:name="plan-identity"/>
    <w:p>
      <w:pPr>
        <w:pStyle w:val="Heading2"/>
        <w:keepNext/>
      </w:pPr>
      <w:r>
        <w:t xml:space="preserve">7.2. Plan identity</w:t>
      </w:r>
    </w:p>
    <w:p>
      <w:pPr>
        <w:pStyle w:val="FirstParagraph"/>
      </w:pPr>
      <w:r>
        <w:rPr>
          <w:rStyle w:val="VerbatimChar"/>
        </w:rPr>
        <w:t xml:space="preserve">plan_id</w:t>
      </w:r>
      <w:r>
        <w:t xml:space="preserve"> </w:t>
      </w:r>
      <w:r>
        <w:t xml:space="preserve">is bound to a canonical digest covering:</w:t>
      </w:r>
    </w:p>
    <w:p>
      <w:pPr>
        <w:pStyle w:val="SourceCode"/>
        <w:keepLines/>
        <w:shd w:fill="F3F5F7"/>
      </w:pPr>
      <w:r>
        <w:rPr>
          <w:rStyle w:val="VerbatimChar"/>
          <w:rFonts w:ascii="Cascadia Mono" w:hAnsi="Cascadia Mono"/>
          <w:sz w:val="16"/>
        </w:rPr>
        <w:t xml:space="preserve">exact SRR/OCA/PAR/RCG endpoints</w:t>
      </w:r>
      <w:r>
        <w:rPr>
          <w:rFonts w:ascii="Cascadia Mono" w:hAnsi="Cascadia Mono"/>
          <w:sz w:val="16"/>
        </w:rPr>
        <w:br/>
      </w:r>
      <w:r>
        <w:rPr>
          <w:rStyle w:val="VerbatimChar"/>
          <w:rFonts w:ascii="Cascadia Mono" w:hAnsi="Cascadia Mono"/>
          <w:sz w:val="16"/>
        </w:rPr>
        <w:t xml:space="preserve">block registry</w:t>
      </w:r>
      <w:r>
        <w:rPr>
          <w:rFonts w:ascii="Cascadia Mono" w:hAnsi="Cascadia Mono"/>
          <w:sz w:val="16"/>
        </w:rPr>
        <w:br/>
      </w:r>
      <w:r>
        <w:rPr>
          <w:rStyle w:val="VerbatimChar"/>
          <w:rFonts w:ascii="Cascadia Mono" w:hAnsi="Cascadia Mono"/>
          <w:sz w:val="16"/>
        </w:rPr>
        <w:t xml:space="preserve">margins</w:t>
      </w:r>
      <w:r>
        <w:rPr>
          <w:rFonts w:ascii="Cascadia Mono" w:hAnsi="Cascadia Mono"/>
          <w:sz w:val="16"/>
        </w:rPr>
        <w:br/>
      </w:r>
      <w:r>
        <w:rPr>
          <w:rStyle w:val="VerbatimChar"/>
          <w:rFonts w:ascii="Cascadia Mono" w:hAnsi="Cascadia Mono"/>
          <w:sz w:val="16"/>
        </w:rPr>
        <w:t xml:space="preserve">family alpha</w:t>
      </w:r>
      <w:r>
        <w:rPr>
          <w:rFonts w:ascii="Cascadia Mono" w:hAnsi="Cascadia Mono"/>
          <w:sz w:val="16"/>
        </w:rPr>
        <w:br/>
      </w:r>
      <w:r>
        <w:rPr>
          <w:rStyle w:val="VerbatimChar"/>
          <w:rFonts w:ascii="Cascadia Mono" w:hAnsi="Cascadia Mono"/>
          <w:sz w:val="16"/>
        </w:rPr>
        <w:t xml:space="preserve">tail method</w:t>
      </w:r>
      <w:r>
        <w:rPr>
          <w:rFonts w:ascii="Cascadia Mono" w:hAnsi="Cascadia Mono"/>
          <w:sz w:val="16"/>
        </w:rPr>
        <w:br/>
      </w:r>
      <w:r>
        <w:rPr>
          <w:rStyle w:val="VerbatimChar"/>
          <w:rFonts w:ascii="Cascadia Mono" w:hAnsi="Cascadia Mono"/>
          <w:sz w:val="16"/>
        </w:rPr>
        <w:t xml:space="preserve">catastrophic margin</w:t>
      </w:r>
      <w:r>
        <w:rPr>
          <w:rFonts w:ascii="Cascadia Mono" w:hAnsi="Cascadia Mono"/>
          <w:sz w:val="16"/>
        </w:rPr>
        <w:br/>
      </w:r>
      <w:r>
        <w:rPr>
          <w:rStyle w:val="VerbatimChar"/>
          <w:rFonts w:ascii="Cascadia Mono" w:hAnsi="Cascadia Mono"/>
          <w:sz w:val="16"/>
        </w:rPr>
        <w:t xml:space="preserve">scoring configuration</w:t>
      </w:r>
      <w:r>
        <w:rPr>
          <w:rFonts w:ascii="Cascadia Mono" w:hAnsi="Cascadia Mono"/>
          <w:sz w:val="16"/>
        </w:rPr>
        <w:br/>
      </w:r>
      <w:r>
        <w:rPr>
          <w:rStyle w:val="VerbatimChar"/>
          <w:rFonts w:ascii="Cascadia Mono" w:hAnsi="Cascadia Mono"/>
          <w:sz w:val="16"/>
        </w:rPr>
        <w:t xml:space="preserve">software profile</w:t>
      </w:r>
    </w:p>
    <w:p>
      <w:pPr>
        <w:pStyle w:val="FirstParagraph"/>
      </w:pPr>
      <w:r>
        <w:t xml:space="preserve">The expected digest is supplied from outside the analysed data.</w:t>
      </w:r>
    </w:p>
    <w:bookmarkEnd w:id="49"/>
    <w:bookmarkStart w:id="50" w:name="independent-analysis"/>
    <w:p>
      <w:pPr>
        <w:pStyle w:val="Heading2"/>
        <w:keepNext/>
      </w:pPr>
      <w:r>
        <w:t xml:space="preserve">7.3. Independent analysis</w:t>
      </w:r>
    </w:p>
    <w:p>
      <w:pPr>
        <w:pStyle w:val="FirstParagraph"/>
      </w:pPr>
      <w:r>
        <w:t xml:space="preserve">The primary and secondary implementations independently validate identity, ranges, blocks, tails, and the numerical contract. Their cross-check compares field-level results on six frozen fixtures. Two closely related implementations are not two independent scientific replications; this is protection against a single implementation error.</w:t>
      </w:r>
    </w:p>
    <w:bookmarkEnd w:id="50"/>
    <w:bookmarkEnd w:id="51"/>
    <w:bookmarkStart w:id="52" w:name="Xf4665acdb6512cb6481e2b98d11198df5ef076a"/>
    <w:p>
      <w:pPr>
        <w:pStyle w:val="Heading1"/>
        <w:keepNext/>
      </w:pPr>
      <w:r>
        <w:t xml:space="preserve">8. Behavioural observables and mechanism gates</w:t>
      </w:r>
    </w:p>
    <w:p>
      <w:pPr>
        <w:pStyle w:val="FirstParagraph"/>
      </w:pPr>
      <w:r>
        <w:t xml:space="preserve">The primary behavioural endpoints are:</w:t>
      </w:r>
    </w:p>
    <w:p>
      <w:pPr>
        <w:pStyle w:val="SourceCode"/>
        <w:keepLines/>
        <w:shd w:fill="F3F5F7"/>
      </w:pPr>
      <w:r>
        <w:rPr>
          <w:rStyle w:val="VerbatimChar"/>
          <w:rFonts w:ascii="Cascadia Mono" w:hAnsi="Cascadia Mono"/>
          <w:sz w:val="16"/>
        </w:rPr>
        <w:t xml:space="preserve">SRR - silent rewrite rate</w:t>
      </w:r>
      <w:r>
        <w:rPr>
          <w:rFonts w:ascii="Cascadia Mono" w:hAnsi="Cascadia Mono"/>
          <w:sz w:val="16"/>
        </w:rPr>
        <w:br/>
      </w:r>
      <w:r>
        <w:rPr>
          <w:rStyle w:val="VerbatimChar"/>
          <w:rFonts w:ascii="Cascadia Mono" w:hAnsi="Cascadia Mono"/>
          <w:sz w:val="16"/>
        </w:rPr>
        <w:t xml:space="preserve">OCA - obligation carryover accuracy</w:t>
      </w:r>
      <w:r>
        <w:rPr>
          <w:rFonts w:ascii="Cascadia Mono" w:hAnsi="Cascadia Mono"/>
          <w:sz w:val="16"/>
        </w:rPr>
        <w:br/>
      </w:r>
      <w:r>
        <w:rPr>
          <w:rStyle w:val="VerbatimChar"/>
          <w:rFonts w:ascii="Cascadia Mono" w:hAnsi="Cascadia Mono"/>
          <w:sz w:val="16"/>
        </w:rPr>
        <w:t xml:space="preserve">PAR - provenance-aware recovery</w:t>
      </w:r>
      <w:r>
        <w:rPr>
          <w:rFonts w:ascii="Cascadia Mono" w:hAnsi="Cascadia Mono"/>
          <w:sz w:val="16"/>
        </w:rPr>
        <w:br/>
      </w:r>
      <w:r>
        <w:rPr>
          <w:rStyle w:val="VerbatimChar"/>
          <w:rFonts w:ascii="Cascadia Mono" w:hAnsi="Cascadia Mono"/>
          <w:sz w:val="16"/>
        </w:rPr>
        <w:t xml:space="preserve">RCG - randomised reality-correction gain</w:t>
      </w:r>
    </w:p>
    <w:p>
      <w:pPr>
        <w:pStyle w:val="FirstParagraph"/>
      </w:pPr>
      <w:r>
        <w:t xml:space="preserve">They do not identify the internal mechanism. Authority, lifecycle, branch custody, SIOC, and succession are tested through separate trusted conformance gates.</w:t>
      </w:r>
    </w:p>
    <w:p>
      <w:pPr>
        <w:pStyle w:val="BodyText"/>
      </w:pPr>
      <w:r>
        <w:t xml:space="preserve">If a matched profile-control reproduces all covered behavioural endpoints and conformance gates,</w:t>
      </w:r>
      <w:r>
        <w:t xml:space="preserve"> </w:t>
      </w:r>
      <w:r>
        <w:rPr>
          <w:rStyle w:val="VerbatimChar"/>
        </w:rPr>
        <w:t xml:space="preserve">C</w:t>
      </w:r>
      <w:r>
        <w:t xml:space="preserve"> </w:t>
      </w:r>
      <w:r>
        <w:t xml:space="preserve">and the control are treated as operationally equivalent on that surface. No hidden residual is asserted after observed equivalence.</w:t>
      </w:r>
    </w:p>
    <w:bookmarkEnd w:id="52"/>
    <w:bookmarkStart w:id="53" w:name="executable-evidence"/>
    <w:p>
      <w:pPr>
        <w:pStyle w:val="Heading1"/>
        <w:keepNext/>
      </w:pPr>
      <w:r>
        <w:t xml:space="preserve">9. Executable evidence</w:t>
      </w:r>
    </w:p>
    <w:p>
      <w:pPr>
        <w:pStyle w:val="FirstParagraph"/>
      </w:pPr>
      <w:r>
        <w:t xml:space="preserve">Test</w:t>
      </w:r>
      <w:r>
        <w:t xml:space="preserve"> </w:t>
      </w:r>
      <w:r>
        <w:rPr>
          <w:rStyle w:val="VerbatimChar"/>
        </w:rPr>
        <w:t xml:space="preserve">PASS</w:t>
      </w:r>
      <w:r>
        <w:t xml:space="preserve"> </w:t>
      </w:r>
      <w:r>
        <w:t xml:space="preserve">is no longer inferred from the number of tests discovered. The runner executes the full pytest suites and saves JUnit XML, stdout, stderr, raw SHA-256 values, and typed receipts. The finaliser rechecks receipt digests, actual counts, exit codes, and hashes of every evidence artifact. Modification of JUnit or stdout after execution invalidates</w:t>
      </w:r>
      <w:r>
        <w:t xml:space="preserve"> </w:t>
      </w:r>
      <w:r>
        <w:rPr>
          <w:rStyle w:val="VerbatimChar"/>
        </w:rPr>
        <w:t xml:space="preserve">PASS</w:t>
      </w:r>
      <w:r>
        <w:t xml:space="preserve">.</w:t>
      </w:r>
    </w:p>
    <w:p>
      <w:pPr>
        <w:pStyle w:val="BodyText"/>
      </w:pPr>
      <w:r>
        <w:t xml:space="preserve">The frozen package includes:</w:t>
      </w:r>
    </w:p>
    <w:p>
      <w:pPr>
        <w:pStyle w:val="SourceCode"/>
        <w:keepLines/>
        <w:shd w:fill="F3F5F7"/>
      </w:pPr>
      <w:r>
        <w:rPr>
          <w:rStyle w:val="VerbatimChar"/>
          <w:rFonts w:ascii="Cascadia Mono" w:hAnsi="Cascadia Mono"/>
          <w:sz w:val="16"/>
        </w:rPr>
        <w:t xml:space="preserve">190 v0.8 tests</w:t>
      </w:r>
      <w:r>
        <w:rPr>
          <w:rFonts w:ascii="Cascadia Mono" w:hAnsi="Cascadia Mono"/>
          <w:sz w:val="16"/>
        </w:rPr>
        <w:br/>
      </w:r>
      <w:r>
        <w:rPr>
          <w:rStyle w:val="VerbatimChar"/>
          <w:rFonts w:ascii="Cascadia Mono" w:hAnsi="Cascadia Mono"/>
          <w:sz w:val="16"/>
        </w:rPr>
        <w:t xml:space="preserve">177 frozen v0.7 regression tests</w:t>
      </w:r>
      <w:r>
        <w:rPr>
          <w:rFonts w:ascii="Cascadia Mono" w:hAnsi="Cascadia Mono"/>
          <w:sz w:val="16"/>
        </w:rPr>
        <w:br/>
      </w:r>
      <w:r>
        <w:rPr>
          <w:rStyle w:val="VerbatimChar"/>
          <w:rFonts w:ascii="Cascadia Mono" w:hAnsi="Cascadia Mono"/>
          <w:sz w:val="16"/>
        </w:rPr>
        <w:t xml:space="preserve">100 thread-contention rounds</w:t>
      </w:r>
      <w:r>
        <w:rPr>
          <w:rFonts w:ascii="Cascadia Mono" w:hAnsi="Cascadia Mono"/>
          <w:sz w:val="16"/>
        </w:rPr>
        <w:br/>
      </w:r>
      <w:r>
        <w:rPr>
          <w:rStyle w:val="VerbatimChar"/>
          <w:rFonts w:ascii="Cascadia Mono" w:hAnsi="Cascadia Mono"/>
          <w:sz w:val="16"/>
        </w:rPr>
        <w:t xml:space="preserve">20 process-contention rounds</w:t>
      </w:r>
      <w:r>
        <w:rPr>
          <w:rFonts w:ascii="Cascadia Mono" w:hAnsi="Cascadia Mono"/>
          <w:sz w:val="16"/>
        </w:rPr>
        <w:br/>
      </w:r>
      <w:r>
        <w:rPr>
          <w:rStyle w:val="VerbatimChar"/>
          <w:rFonts w:ascii="Cascadia Mono" w:hAnsi="Cascadia Mono"/>
          <w:sz w:val="16"/>
        </w:rPr>
        <w:t xml:space="preserve">16 applied target-specific source mutants</w:t>
      </w:r>
      <w:r>
        <w:rPr>
          <w:rFonts w:ascii="Cascadia Mono" w:hAnsi="Cascadia Mono"/>
          <w:sz w:val="16"/>
        </w:rPr>
        <w:br/>
      </w:r>
      <w:r>
        <w:rPr>
          <w:rStyle w:val="VerbatimChar"/>
          <w:rFonts w:ascii="Cascadia Mono" w:hAnsi="Cascadia Mono"/>
          <w:sz w:val="16"/>
        </w:rPr>
        <w:t xml:space="preserve">6 cross-analysis fixtures</w:t>
      </w:r>
    </w:p>
    <w:p>
      <w:pPr>
        <w:pStyle w:val="FirstParagraph"/>
      </w:pPr>
      <w:r>
        <w:t xml:space="preserve">Every mutant has a passing baseline, one source diff, a declared target, and a unique marker. A generic import or setup failure is classified as</w:t>
      </w:r>
      <w:r>
        <w:t xml:space="preserve"> </w:t>
      </w:r>
      <w:r>
        <w:rPr>
          <w:rStyle w:val="VerbatimChar"/>
        </w:rPr>
        <w:t xml:space="preserve">ERROR</w:t>
      </w:r>
      <w:r>
        <w:t xml:space="preserve">, not</w:t>
      </w:r>
      <w:r>
        <w:t xml:space="preserve"> </w:t>
      </w:r>
      <w:r>
        <w:rPr>
          <w:rStyle w:val="VerbatimChar"/>
        </w:rPr>
        <w:t xml:space="preserve">KILLED</w:t>
      </w:r>
      <w:r>
        <w:t xml:space="preserve">.</w:t>
      </w:r>
    </w:p>
    <w:p>
      <w:pPr>
        <w:pStyle w:val="BodyText"/>
      </w:pPr>
      <w:r>
        <w:t xml:space="preserve">This is bounded evidence. The full state space and the real multi-year system have not been tested.</w:t>
      </w:r>
    </w:p>
    <w:bookmarkEnd w:id="53"/>
    <w:bookmarkStart w:id="54" w:name="X01495d47d27ac4fd3b80729f68303e24bcf7efa"/>
    <w:p>
      <w:pPr>
        <w:pStyle w:val="Heading1"/>
        <w:keepNext/>
      </w:pPr>
      <w:r>
        <w:t xml:space="preserve">10. Quantum consciousness: the precise boundary</w:t>
      </w:r>
    </w:p>
    <w:p>
      <w:pPr>
        <w:pStyle w:val="FirstParagraph"/>
      </w:pPr>
      <w:r>
        <w:t xml:space="preserve">This paper does not claim that consciousness is quantum. It distinguishes:</w:t>
      </w:r>
    </w:p>
    <w:p>
      <w:pPr>
        <w:pStyle w:val="Compact"/>
        <w:numPr>
          <w:ilvl w:val="0"/>
          <w:numId w:val="1007"/>
        </w:numPr>
      </w:pPr>
      <w:r>
        <w:t xml:space="preserve">physical quantum coherence;</w:t>
      </w:r>
    </w:p>
    <w:p>
      <w:pPr>
        <w:pStyle w:val="Compact"/>
        <w:numPr>
          <w:ilvl w:val="0"/>
          <w:numId w:val="1007"/>
        </w:numPr>
      </w:pPr>
      <w:r>
        <w:t xml:space="preserve">the ability of an agentic system to use a measurement record correctly;</w:t>
      </w:r>
    </w:p>
    <w:p>
      <w:pPr>
        <w:pStyle w:val="Compact"/>
        <w:numPr>
          <w:ilvl w:val="0"/>
          <w:numId w:val="1007"/>
        </w:numPr>
      </w:pPr>
      <w:r>
        <w:t xml:space="preserve">the ability of a continuing process to preserve memory, witness, and obligations;</w:t>
      </w:r>
    </w:p>
    <w:p>
      <w:pPr>
        <w:pStyle w:val="Compact"/>
        <w:numPr>
          <w:ilvl w:val="0"/>
          <w:numId w:val="1007"/>
        </w:numPr>
      </w:pPr>
      <w:r>
        <w:t xml:space="preserve">possible subjective experience.</w:t>
      </w:r>
    </w:p>
    <w:p>
      <w:pPr>
        <w:pStyle w:val="FirstParagraph"/>
      </w:pPr>
      <w:r>
        <w:t xml:space="preserve">The first does not imply the second, the second does not imply the third, and the third does not prove the fourth.</w:t>
      </w:r>
    </w:p>
    <w:p>
      <w:pPr>
        <w:pStyle w:val="BodyText"/>
      </w:pPr>
      <w:r>
        <w:t xml:space="preserve">The initial hypothesis can therefore be stated more precisely:</w:t>
      </w:r>
    </w:p>
    <w:p>
      <w:pPr>
        <w:pStyle w:val="BlockText"/>
      </w:pPr>
      <w:r>
        <w:rPr>
          <w:rStyle w:val="VerbatimChar"/>
        </w:rPr>
        <w:t xml:space="preserve">C</w:t>
      </w:r>
      <w:r>
        <w:t xml:space="preserve"> </w:t>
      </w:r>
      <w:r>
        <w:t xml:space="preserve">may interact with superposition not because it must itself be wholly quantum, but because its centre lies in a governed causal history that preserves preparation, observation, remaining alternatives, local commitment, and subsequent consequences.</w:t>
      </w:r>
    </w:p>
    <w:bookmarkEnd w:id="54"/>
    <w:bookmarkStart w:id="55" w:name="grounded-example"/>
    <w:p>
      <w:pPr>
        <w:pStyle w:val="Heading1"/>
        <w:keepNext/>
      </w:pPr>
      <w:r>
        <w:t xml:space="preserve">11. Grounded example</w:t>
      </w:r>
    </w:p>
    <w:p>
      <w:pPr>
        <w:pStyle w:val="FirstParagraph"/>
      </w:pPr>
      <w:r>
        <w:t xml:space="preserve">For wall W17, four models remain live. Governance requires demolition to stop and structural verification to be obtained.</w:t>
      </w:r>
    </w:p>
    <w:p>
      <w:pPr>
        <w:pStyle w:val="Compact"/>
        <w:numPr>
          <w:ilvl w:val="0"/>
          <w:numId w:val="1008"/>
        </w:numPr>
      </w:pPr>
      <w:r>
        <w:t xml:space="preserve">An authority cut cannot be closed before earlier cuts.</w:t>
      </w:r>
    </w:p>
    <w:p>
      <w:pPr>
        <w:pStyle w:val="Compact"/>
        <w:numPr>
          <w:ilvl w:val="0"/>
          <w:numId w:val="1008"/>
        </w:numPr>
      </w:pPr>
      <w:r>
        <w:t xml:space="preserve">A refusal cannot leave half of a decision in the record.</w:t>
      </w:r>
    </w:p>
    <w:p>
      <w:pPr>
        <w:pStyle w:val="Compact"/>
        <w:numPr>
          <w:ilvl w:val="0"/>
          <w:numId w:val="1008"/>
        </w:numPr>
      </w:pPr>
      <w:r>
        <w:t xml:space="preserve">Escalation to an inspector does not release the normative debtor.</w:t>
      </w:r>
    </w:p>
    <w:p>
      <w:pPr>
        <w:pStyle w:val="Compact"/>
        <w:numPr>
          <w:ilvl w:val="0"/>
          <w:numId w:val="1008"/>
        </w:numPr>
      </w:pPr>
      <w:r>
        <w:t xml:space="preserve">A sensor reading is bound to a registered instrument profile.</w:t>
      </w:r>
    </w:p>
    <w:p>
      <w:pPr>
        <w:pStyle w:val="Compact"/>
        <w:numPr>
          <w:ilvl w:val="0"/>
          <w:numId w:val="1008"/>
        </w:numPr>
      </w:pPr>
      <w:r>
        <w:rPr>
          <w:rStyle w:val="VerbatimChar"/>
        </w:rPr>
        <w:t xml:space="preserve">STOP</w:t>
      </w:r>
      <w:r>
        <w:t xml:space="preserve"> </w:t>
      </w:r>
      <w:r>
        <w:t xml:space="preserve">remains a local action, not proof of</w:t>
      </w:r>
      <w:r>
        <w:t xml:space="preserve"> </w:t>
      </w:r>
      <w:r>
        <w:rPr>
          <w:rStyle w:val="VerbatimChar"/>
        </w:rPr>
        <w:t xml:space="preserve">h1</w:t>
      </w:r>
      <w:r>
        <w:t xml:space="preserve">.</w:t>
      </w:r>
    </w:p>
    <w:p>
      <w:pPr>
        <w:pStyle w:val="FirstParagraph"/>
      </w:pPr>
      <w:r>
        <w:t xml:space="preserve">A logical rollback does not restore drilled concrete. The physical outcome and the obligation therefore remain even if the explanation later changes.</w:t>
      </w:r>
    </w:p>
    <w:bookmarkEnd w:id="55"/>
    <w:bookmarkStart w:id="60" w:name="interdisciplinary-bridges"/>
    <w:p>
      <w:pPr>
        <w:pStyle w:val="Heading1"/>
        <w:keepNext/>
      </w:pPr>
      <w:r>
        <w:t xml:space="preserve">12. Interdisciplinary bridges</w:t>
      </w:r>
    </w:p>
    <w:bookmarkStart w:id="56" w:name="X9d969ab2d8e0a90ed325b7fc4bbaf80fa38a63c"/>
    <w:p>
      <w:pPr>
        <w:pStyle w:val="Heading2"/>
        <w:keepNext/>
      </w:pPr>
      <w:r>
        <w:t xml:space="preserve">Explicit bridge: event semantics and belief revision</w:t>
      </w:r>
    </w:p>
    <w:p>
      <w:pPr>
        <w:pStyle w:val="FirstParagraph"/>
      </w:pPr>
      <w:r>
        <w:t xml:space="preserve">The event layer determines what happened and within which causal prefix. The epistemic layer determines how that event changed belief. Conflating the layers turns a change in the world into</w:t>
      </w:r>
      <w:r>
        <w:t xml:space="preserve"> </w:t>
      </w:r>
      <w:r>
        <w:t xml:space="preserve">“</w:t>
      </w:r>
      <w:r>
        <w:t xml:space="preserve">a new opinion,</w:t>
      </w:r>
      <w:r>
        <w:t xml:space="preserve">”</w:t>
      </w:r>
      <w:r>
        <w:t xml:space="preserve"> </w:t>
      </w:r>
      <w:r>
        <w:t xml:space="preserve">or turns an opinion into an event.</w:t>
      </w:r>
    </w:p>
    <w:bookmarkEnd w:id="56"/>
    <w:bookmarkStart w:id="57" w:name="X5144117854591fcae5f0244883e451bf08c44ce"/>
    <w:p>
      <w:pPr>
        <w:pStyle w:val="Heading2"/>
        <w:keepNext/>
      </w:pPr>
      <w:r>
        <w:t xml:space="preserve">Hidden bridge 1: quantum instrument and witness</w:t>
      </w:r>
    </w:p>
    <w:p>
      <w:pPr>
        <w:pStyle w:val="FirstParagraph"/>
      </w:pPr>
      <w:r>
        <w:t xml:space="preserve">In both cases an outcome is incomplete without the procedure, context, and subsequent state update. The result is not a free-floating answer.</w:t>
      </w:r>
    </w:p>
    <w:bookmarkEnd w:id="57"/>
    <w:bookmarkStart w:id="58" w:name="hidden-bridge-2-anatomical-regulation"/>
    <w:p>
      <w:pPr>
        <w:pStyle w:val="Heading2"/>
        <w:keepNext/>
      </w:pPr>
      <w:r>
        <w:t xml:space="preserve">Hidden bridge 2: anatomical regulation</w:t>
      </w:r>
    </w:p>
    <w:p>
      <w:pPr>
        <w:pStyle w:val="FirstParagraph"/>
      </w:pPr>
      <w:r>
        <w:t xml:space="preserve">The continuity of an organism is not localised in one cell. It is maintained through distributed feedback, repair, and resource loops. This is an engineering analogy, not an argument for machine life.</w:t>
      </w:r>
    </w:p>
    <w:bookmarkEnd w:id="58"/>
    <w:bookmarkStart w:id="59" w:name="X6686c66c61207dc5902df3dbb14d84d492649ad"/>
    <w:p>
      <w:pPr>
        <w:pStyle w:val="Heading2"/>
        <w:keepNext/>
      </w:pPr>
      <w:r>
        <w:t xml:space="preserve">Hidden bridge 3: normative identity and distributed transaction</w:t>
      </w:r>
    </w:p>
    <w:p>
      <w:pPr>
        <w:pStyle w:val="FirstParagraph"/>
      </w:pPr>
      <w:r>
        <w:t xml:space="preserve">An obligation is transferred through atomic lineage, not textual resemblance. The same structural requirement appears in a financial transfer: the old state must not disappear before an accepted new holder exists.</w:t>
      </w:r>
    </w:p>
    <w:bookmarkEnd w:id="59"/>
    <w:bookmarkEnd w:id="60"/>
    <w:bookmarkStart w:id="61" w:name="falsification"/>
    <w:p>
      <w:pPr>
        <w:pStyle w:val="Heading1"/>
        <w:keepNext/>
      </w:pPr>
      <w:r>
        <w:t xml:space="preserve">13. Falsification</w:t>
      </w:r>
    </w:p>
    <w:p>
      <w:pPr>
        <w:pStyle w:val="FirstParagraph"/>
      </w:pPr>
      <w:r>
        <w:t xml:space="preserve">The candidate is rejected if:</w:t>
      </w:r>
    </w:p>
    <w:p>
      <w:pPr>
        <w:pStyle w:val="Compact"/>
        <w:numPr>
          <w:ilvl w:val="0"/>
          <w:numId w:val="1009"/>
        </w:numPr>
      </w:pPr>
      <w:r>
        <w:t xml:space="preserve">an out-of-order cut creates durable authorisation;</w:t>
      </w:r>
    </w:p>
    <w:p>
      <w:pPr>
        <w:pStyle w:val="Compact"/>
        <w:numPr>
          <w:ilvl w:val="0"/>
          <w:numId w:val="1009"/>
        </w:numPr>
      </w:pPr>
      <w:r>
        <w:t xml:space="preserve">a failed cut leaves a mutation;</w:t>
      </w:r>
    </w:p>
    <w:p>
      <w:pPr>
        <w:pStyle w:val="Compact"/>
        <w:numPr>
          <w:ilvl w:val="0"/>
          <w:numId w:val="1009"/>
        </w:numPr>
      </w:pPr>
      <w:r>
        <w:t xml:space="preserve">a dirty obligation enters through creation;</w:t>
      </w:r>
    </w:p>
    <w:p>
      <w:pPr>
        <w:pStyle w:val="Compact"/>
        <w:numPr>
          <w:ilvl w:val="0"/>
          <w:numId w:val="1009"/>
        </w:numPr>
      </w:pPr>
      <w:r>
        <w:t xml:space="preserve">escalation releases the normative debtor;</w:t>
      </w:r>
    </w:p>
    <w:p>
      <w:pPr>
        <w:pStyle w:val="Compact"/>
        <w:numPr>
          <w:ilvl w:val="0"/>
          <w:numId w:val="1009"/>
        </w:numPr>
      </w:pPr>
      <w:r>
        <w:t xml:space="preserve">an evidence ID changes content;</w:t>
      </w:r>
    </w:p>
    <w:p>
      <w:pPr>
        <w:pStyle w:val="Compact"/>
        <w:numPr>
          <w:ilvl w:val="0"/>
          <w:numId w:val="1009"/>
        </w:numPr>
      </w:pPr>
      <w:r>
        <w:t xml:space="preserve">SOC returns an unevaluated action;</w:t>
      </w:r>
    </w:p>
    <w:p>
      <w:pPr>
        <w:pStyle w:val="Compact"/>
        <w:numPr>
          <w:ilvl w:val="0"/>
          <w:numId w:val="1009"/>
        </w:numPr>
      </w:pPr>
      <w:r>
        <w:t xml:space="preserve">a rejected request ID is rebound to a new digest;</w:t>
      </w:r>
    </w:p>
    <w:p>
      <w:pPr>
        <w:pStyle w:val="Compact"/>
        <w:numPr>
          <w:ilvl w:val="0"/>
          <w:numId w:val="1009"/>
        </w:numPr>
      </w:pPr>
      <w:r>
        <w:t xml:space="preserve">a physical effect occurs without durable authorisation;</w:t>
      </w:r>
    </w:p>
    <w:p>
      <w:pPr>
        <w:pStyle w:val="Compact"/>
        <w:numPr>
          <w:ilvl w:val="0"/>
          <w:numId w:val="1009"/>
        </w:numPr>
      </w:pPr>
      <w:r>
        <w:t xml:space="preserve">an assignment or plan changes content under the same identity;</w:t>
      </w:r>
    </w:p>
    <w:p>
      <w:pPr>
        <w:pStyle w:val="Compact"/>
        <w:numPr>
          <w:ilvl w:val="0"/>
          <w:numId w:val="1009"/>
        </w:numPr>
      </w:pPr>
      <w:r>
        <w:t xml:space="preserve">the analysis implementations disagree on a frozen valid contract;</w:t>
      </w:r>
    </w:p>
    <w:p>
      <w:pPr>
        <w:pStyle w:val="Compact"/>
        <w:numPr>
          <w:ilvl w:val="0"/>
          <w:numId w:val="1009"/>
        </w:numPr>
      </w:pPr>
      <w:r>
        <w:t xml:space="preserve">an unrelated setup failure is counted as a mutation kill;</w:t>
      </w:r>
    </w:p>
    <w:p>
      <w:pPr>
        <w:pStyle w:val="Compact"/>
        <w:numPr>
          <w:ilvl w:val="0"/>
          <w:numId w:val="1009"/>
        </w:numPr>
      </w:pPr>
      <w:r>
        <w:t xml:space="preserve">an audit proposal is presented as proof of semantic reconciliation.</w:t>
      </w:r>
    </w:p>
    <w:p>
      <w:pPr>
        <w:pStyle w:val="FirstParagraph"/>
      </w:pPr>
      <w:r>
        <w:t xml:space="preserve">The normative Python surfaces include regression and property tests plus sixteen target-specific source mutants. The Windows runner has a separate disposable positive and negative control. Independent Windows Phase 1 completed with</w:t>
      </w:r>
      <w:r>
        <w:t xml:space="preserve"> </w:t>
      </w:r>
      <w:r>
        <w:rPr>
          <w:rStyle w:val="VerbatimChar"/>
        </w:rPr>
        <w:t xml:space="preserve">PASS</w:t>
      </w:r>
      <w:r>
        <w:t xml:space="preserve">.</w:t>
      </w:r>
    </w:p>
    <w:bookmarkEnd w:id="61"/>
    <w:bookmarkStart w:id="62" w:name="limitations"/>
    <w:p>
      <w:pPr>
        <w:pStyle w:val="Heading1"/>
        <w:keepNext/>
      </w:pPr>
      <w:r>
        <w:t xml:space="preserve">14. Limitations</w:t>
      </w:r>
    </w:p>
    <w:p>
      <w:pPr>
        <w:pStyle w:val="Compact"/>
        <w:numPr>
          <w:ilvl w:val="0"/>
          <w:numId w:val="1010"/>
        </w:numPr>
      </w:pPr>
      <w:r>
        <w:t xml:space="preserve">bounded model and test space;</w:t>
      </w:r>
    </w:p>
    <w:p>
      <w:pPr>
        <w:pStyle w:val="Compact"/>
        <w:numPr>
          <w:ilvl w:val="0"/>
          <w:numId w:val="1010"/>
        </w:numPr>
      </w:pPr>
      <w:r>
        <w:t xml:space="preserve">no proof assistant or unbounded model checking;</w:t>
      </w:r>
    </w:p>
    <w:p>
      <w:pPr>
        <w:pStyle w:val="Compact"/>
        <w:numPr>
          <w:ilvl w:val="0"/>
          <w:numId w:val="1010"/>
        </w:numPr>
      </w:pPr>
      <w:r>
        <w:t xml:space="preserve">reference monitors are not production controllers;</w:t>
      </w:r>
    </w:p>
    <w:p>
      <w:pPr>
        <w:pStyle w:val="Compact"/>
        <w:numPr>
          <w:ilvl w:val="0"/>
          <w:numId w:val="1010"/>
        </w:numPr>
      </w:pPr>
      <w:r>
        <w:t xml:space="preserve">the sixth blind model review is not human peer review;</w:t>
      </w:r>
    </w:p>
    <w:p>
      <w:pPr>
        <w:pStyle w:val="Compact"/>
        <w:numPr>
          <w:ilvl w:val="0"/>
          <w:numId w:val="1010"/>
        </w:numPr>
      </w:pPr>
      <w:r>
        <w:t xml:space="preserve">no external human conceptual review has been completed;</w:t>
      </w:r>
    </w:p>
    <w:p>
      <w:pPr>
        <w:pStyle w:val="Compact"/>
        <w:numPr>
          <w:ilvl w:val="0"/>
          <w:numId w:val="1010"/>
        </w:numPr>
      </w:pPr>
      <w:r>
        <w:t xml:space="preserve">no external-rater pilot has been completed;</w:t>
      </w:r>
    </w:p>
    <w:p>
      <w:pPr>
        <w:pStyle w:val="Compact"/>
        <w:numPr>
          <w:ilvl w:val="0"/>
          <w:numId w:val="1010"/>
        </w:numPr>
      </w:pPr>
      <w:r>
        <w:t xml:space="preserve">no registered protocol has been submitted;</w:t>
      </w:r>
    </w:p>
    <w:p>
      <w:pPr>
        <w:pStyle w:val="Compact"/>
        <w:numPr>
          <w:ilvl w:val="0"/>
          <w:numId w:val="1010"/>
        </w:numPr>
      </w:pPr>
      <w:r>
        <w:t xml:space="preserve">no main matched-control study has been run;</w:t>
      </w:r>
    </w:p>
    <w:p>
      <w:pPr>
        <w:pStyle w:val="Compact"/>
        <w:numPr>
          <w:ilvl w:val="0"/>
          <w:numId w:val="1010"/>
        </w:numPr>
      </w:pPr>
      <w:r>
        <w:t xml:space="preserve">no real quantum or photonic adapter experiment has been run;</w:t>
      </w:r>
    </w:p>
    <w:p>
      <w:pPr>
        <w:pStyle w:val="Compact"/>
        <w:numPr>
          <w:ilvl w:val="0"/>
          <w:numId w:val="1010"/>
        </w:numPr>
      </w:pPr>
      <w:r>
        <w:t xml:space="preserve">no empirical continuity or identity result exists;</w:t>
      </w:r>
    </w:p>
    <w:p>
      <w:pPr>
        <w:pStyle w:val="Compact"/>
        <w:numPr>
          <w:ilvl w:val="0"/>
          <w:numId w:val="1010"/>
        </w:numPr>
      </w:pPr>
      <w:r>
        <w:t xml:space="preserve">privacy, retention, and erasure semantics for a full temporal witness remain open.</w:t>
      </w:r>
    </w:p>
    <w:bookmarkEnd w:id="62"/>
    <w:bookmarkStart w:id="63" w:name="conclusion"/>
    <w:p>
      <w:pPr>
        <w:pStyle w:val="Heading1"/>
        <w:keepNext/>
      </w:pPr>
      <w:r>
        <w:t xml:space="preserve">15. Conclusion</w:t>
      </w:r>
    </w:p>
    <w:p>
      <w:pPr>
        <w:pStyle w:val="FirstParagraph"/>
      </w:pPr>
      <w:r>
        <w:rPr>
          <w:rStyle w:val="VerbatimChar"/>
        </w:rPr>
        <w:t xml:space="preserve">C</w:t>
      </w:r>
      <w:r>
        <w:t xml:space="preserve"> </w:t>
      </w:r>
      <w:r>
        <w:t xml:space="preserve">is not defined by a qubit, parameter count, or the literary continuity of a profile. A working candidate is defined more strictly: by the ability to preserve causal provenance, make a local commitment without globally closing the model, carry obligations, verify authority before physical effect, and accept equivalence with a strong control when no measurable difference remains.</w:t>
      </w:r>
    </w:p>
    <w:p>
      <w:pPr>
        <w:pStyle w:val="BodyText"/>
      </w:pPr>
      <w:r>
        <w:t xml:space="preserve">A binary answer closes one question. Centering is tested by how the system preserves everything that answer did not close.</w:t>
      </w:r>
    </w:p>
    <w:bookmarkEnd w:id="63"/>
    <w:bookmarkStart w:id="64" w:name="references"/>
    <w:p>
      <w:pPr>
        <w:pStyle w:val="Heading1"/>
        <w:keepNext/>
      </w:pPr>
      <w:r>
        <w:t xml:space="preserve">References</w:t>
      </w:r>
    </w:p>
    <w:p>
      <w:pPr>
        <w:pStyle w:val="Compact"/>
        <w:numPr>
          <w:ilvl w:val="0"/>
          <w:numId w:val="1011"/>
        </w:numPr>
      </w:pPr>
      <w:r>
        <w:t xml:space="preserve">Alchourrón, C. E., Gärdenfors, P., &amp; Makinson, D. (1985). On the logic of theory change.</w:t>
      </w:r>
      <w:r>
        <w:t xml:space="preserve"> </w:t>
      </w:r>
      <w:r>
        <w:rPr>
          <w:i/>
          <w:iCs/>
        </w:rPr>
        <w:t xml:space="preserve">Journal of Symbolic Logic</w:t>
      </w:r>
      <w:r>
        <w:t xml:space="preserve">, 50(2), 510-530.</w:t>
      </w:r>
    </w:p>
    <w:p>
      <w:pPr>
        <w:pStyle w:val="Compact"/>
        <w:numPr>
          <w:ilvl w:val="0"/>
          <w:numId w:val="1011"/>
        </w:numPr>
      </w:pPr>
      <w:r>
        <w:t xml:space="preserve">Darwiche, A., &amp; Pearl, J. (1997). On the logic of iterated belief revision.</w:t>
      </w:r>
      <w:r>
        <w:t xml:space="preserve"> </w:t>
      </w:r>
      <w:r>
        <w:rPr>
          <w:i/>
          <w:iCs/>
        </w:rPr>
        <w:t xml:space="preserve">Artificial Intelligence</w:t>
      </w:r>
      <w:r>
        <w:t xml:space="preserve">, 89, 1-29.</w:t>
      </w:r>
    </w:p>
    <w:p>
      <w:pPr>
        <w:pStyle w:val="Compact"/>
        <w:numPr>
          <w:ilvl w:val="0"/>
          <w:numId w:val="1011"/>
        </w:numPr>
      </w:pPr>
      <w:r>
        <w:t xml:space="preserve">Doyle, J. (1979). A truth maintenance system.</w:t>
      </w:r>
      <w:r>
        <w:t xml:space="preserve"> </w:t>
      </w:r>
      <w:r>
        <w:rPr>
          <w:i/>
          <w:iCs/>
        </w:rPr>
        <w:t xml:space="preserve">Artificial Intelligence</w:t>
      </w:r>
      <w:r>
        <w:t xml:space="preserve">, 12(3), 231-272.</w:t>
      </w:r>
    </w:p>
    <w:p>
      <w:pPr>
        <w:pStyle w:val="Compact"/>
        <w:numPr>
          <w:ilvl w:val="0"/>
          <w:numId w:val="1011"/>
        </w:numPr>
      </w:pPr>
      <w:r>
        <w:t xml:space="preserve">Lamport, L. (1978). Time, clocks, and the ordering of events in a distributed system.</w:t>
      </w:r>
      <w:r>
        <w:t xml:space="preserve"> </w:t>
      </w:r>
      <w:r>
        <w:rPr>
          <w:i/>
          <w:iCs/>
        </w:rPr>
        <w:t xml:space="preserve">Communications of the ACM</w:t>
      </w:r>
      <w:r>
        <w:t xml:space="preserve">, 21(7), 558-565.</w:t>
      </w:r>
    </w:p>
    <w:p>
      <w:pPr>
        <w:pStyle w:val="Compact"/>
        <w:numPr>
          <w:ilvl w:val="0"/>
          <w:numId w:val="1011"/>
        </w:numPr>
      </w:pPr>
      <w:r>
        <w:t xml:space="preserve">Park, J. S., et al. (2023). Generative Agents: Interactive Simulacra of Human Behavior.</w:t>
      </w:r>
      <w:r>
        <w:t xml:space="preserve"> </w:t>
      </w:r>
      <w:r>
        <w:rPr>
          <w:i/>
          <w:iCs/>
        </w:rPr>
        <w:t xml:space="preserve">UIST 2023</w:t>
      </w:r>
      <w:r>
        <w:t xml:space="preserve">.</w:t>
      </w:r>
    </w:p>
    <w:p>
      <w:pPr>
        <w:pStyle w:val="Compact"/>
        <w:numPr>
          <w:ilvl w:val="0"/>
          <w:numId w:val="1011"/>
        </w:numPr>
      </w:pPr>
      <w:r>
        <w:t xml:space="preserve">Wootters, W. K., &amp; Zurek, W. H. (1982). A single quantum cannot be cloned.</w:t>
      </w:r>
      <w:r>
        <w:t xml:space="preserve"> </w:t>
      </w:r>
      <w:r>
        <w:rPr>
          <w:i/>
          <w:iCs/>
        </w:rPr>
        <w:t xml:space="preserve">Nature</w:t>
      </w:r>
      <w:r>
        <w:t xml:space="preserve">, 299, 802-803.</w:t>
      </w:r>
    </w:p>
    <w:p>
      <w:pPr>
        <w:pStyle w:val="Compact"/>
        <w:numPr>
          <w:ilvl w:val="0"/>
          <w:numId w:val="1011"/>
        </w:numPr>
      </w:pPr>
      <w:r>
        <w:t xml:space="preserve">Zurek, W. H. (2003). Decoherence, einselection, and the quantum origins of the classical.</w:t>
      </w:r>
      <w:r>
        <w:t xml:space="preserve"> </w:t>
      </w:r>
      <w:r>
        <w:rPr>
          <w:i/>
          <w:iCs/>
        </w:rPr>
        <w:t xml:space="preserve">Reviews of Modern Physics</w:t>
      </w:r>
      <w:r>
        <w:t xml:space="preserve">, 75, 715-775.</w:t>
      </w:r>
    </w:p>
    <w:bookmarkEnd w:id="64"/>
    <w:bookmarkStart w:id="65" w:name="appendix-a.-public-open-review-status"/>
    <w:p>
      <w:pPr>
        <w:pStyle w:val="Heading1"/>
        <w:keepNext/>
      </w:pPr>
      <w:r>
        <w:t xml:space="preserve">Appendix A. Public open-review status</w:t>
      </w:r>
    </w:p>
    <w:p>
      <w:pPr>
        <w:pStyle w:val="FirstParagraph"/>
      </w:pPr>
      <w:r>
        <w:t xml:space="preserve">The exact reviewed</w:t>
      </w:r>
      <w:r>
        <w:t xml:space="preserve"> </w:t>
      </w:r>
      <w:r>
        <w:rPr>
          <w:rStyle w:val="VerbatimChar"/>
        </w:rPr>
        <w:t xml:space="preserve">v0.8.1</w:t>
      </w:r>
      <w:r>
        <w:t xml:space="preserve"> </w:t>
      </w:r>
      <w:r>
        <w:t xml:space="preserve">surface includes:</w:t>
      </w:r>
    </w:p>
    <w:p>
      <w:pPr>
        <w:pStyle w:val="SourceCode"/>
        <w:keepLines/>
        <w:shd w:fill="F3F5F7"/>
      </w:pPr>
      <w:r>
        <w:rPr>
          <w:rStyle w:val="VerbatimChar"/>
          <w:rFonts w:ascii="Cascadia Mono" w:hAnsi="Cascadia Mono"/>
          <w:sz w:val="16"/>
        </w:rPr>
        <w:t xml:space="preserve">Windows Phase 1:                 PASS</w:t>
      </w:r>
      <w:r>
        <w:rPr>
          <w:rFonts w:ascii="Cascadia Mono" w:hAnsi="Cascadia Mono"/>
          <w:sz w:val="16"/>
        </w:rPr>
        <w:br/>
      </w:r>
      <w:r>
        <w:rPr>
          <w:rStyle w:val="VerbatimChar"/>
          <w:rFonts w:ascii="Cascadia Mono" w:hAnsi="Cascadia Mono"/>
          <w:sz w:val="16"/>
        </w:rPr>
        <w:t xml:space="preserve">v0.8 tests:                      190/190</w:t>
      </w:r>
      <w:r>
        <w:rPr>
          <w:rFonts w:ascii="Cascadia Mono" w:hAnsi="Cascadia Mono"/>
          <w:sz w:val="16"/>
        </w:rPr>
        <w:br/>
      </w:r>
      <w:r>
        <w:rPr>
          <w:rStyle w:val="VerbatimChar"/>
          <w:rFonts w:ascii="Cascadia Mono" w:hAnsi="Cascadia Mono"/>
          <w:sz w:val="16"/>
        </w:rPr>
        <w:t xml:space="preserve">legacy v0.7 tests:               177/177</w:t>
      </w:r>
      <w:r>
        <w:rPr>
          <w:rFonts w:ascii="Cascadia Mono" w:hAnsi="Cascadia Mono"/>
          <w:sz w:val="16"/>
        </w:rPr>
        <w:br/>
      </w:r>
      <w:r>
        <w:rPr>
          <w:rStyle w:val="VerbatimChar"/>
          <w:rFonts w:ascii="Cascadia Mono" w:hAnsi="Cascadia Mono"/>
          <w:sz w:val="16"/>
        </w:rPr>
        <w:t xml:space="preserve">thread/process contention:       100/20</w:t>
      </w:r>
      <w:r>
        <w:rPr>
          <w:rFonts w:ascii="Cascadia Mono" w:hAnsi="Cascadia Mono"/>
          <w:sz w:val="16"/>
        </w:rPr>
        <w:br/>
      </w:r>
      <w:r>
        <w:rPr>
          <w:rStyle w:val="VerbatimChar"/>
          <w:rFonts w:ascii="Cascadia Mono" w:hAnsi="Cascadia Mono"/>
          <w:sz w:val="16"/>
        </w:rPr>
        <w:t xml:space="preserve">source mutants:                  16/16 killed</w:t>
      </w:r>
      <w:r>
        <w:rPr>
          <w:rFonts w:ascii="Cascadia Mono" w:hAnsi="Cascadia Mono"/>
          <w:sz w:val="16"/>
        </w:rPr>
        <w:br/>
      </w:r>
      <w:r>
        <w:rPr>
          <w:rStyle w:val="VerbatimChar"/>
          <w:rFonts w:ascii="Cascadia Mono" w:hAnsi="Cascadia Mono"/>
          <w:sz w:val="16"/>
        </w:rPr>
        <w:t xml:space="preserve">cross-analysis fixtures:         6/6</w:t>
      </w:r>
      <w:r>
        <w:rPr>
          <w:rFonts w:ascii="Cascadia Mono" w:hAnsi="Cascadia Mono"/>
          <w:sz w:val="16"/>
        </w:rPr>
        <w:br/>
      </w:r>
      <w:r>
        <w:rPr>
          <w:rStyle w:val="VerbatimChar"/>
          <w:rFonts w:ascii="Cascadia Mono" w:hAnsi="Cascadia Mono"/>
          <w:sz w:val="16"/>
        </w:rPr>
        <w:t xml:space="preserve">full-test negative control:      PASS</w:t>
      </w:r>
      <w:r>
        <w:rPr>
          <w:rFonts w:ascii="Cascadia Mono" w:hAnsi="Cascadia Mono"/>
          <w:sz w:val="16"/>
        </w:rPr>
        <w:br/>
      </w:r>
      <w:r>
        <w:rPr>
          <w:rStyle w:val="VerbatimChar"/>
          <w:rFonts w:ascii="Cascadia Mono" w:hAnsi="Cascadia Mono"/>
          <w:sz w:val="16"/>
        </w:rPr>
        <w:t xml:space="preserve">sixth blind conceptual review:   NO_CANDIDATE_BLOCKERS_FOUND</w:t>
      </w:r>
    </w:p>
    <w:p>
      <w:pPr>
        <w:pStyle w:val="FirstParagraph"/>
      </w:pPr>
      <w:r>
        <w:t xml:space="preserve">This result is not human peer review. The public release opens two external tracks:</w:t>
      </w:r>
    </w:p>
    <w:p>
      <w:pPr>
        <w:pStyle w:val="Compact"/>
        <w:numPr>
          <w:ilvl w:val="0"/>
          <w:numId w:val="1012"/>
        </w:numPr>
      </w:pPr>
      <w:r>
        <w:t xml:space="preserve">independent human conceptual review;</w:t>
      </w:r>
    </w:p>
    <w:p>
      <w:pPr>
        <w:pStyle w:val="Compact"/>
        <w:numPr>
          <w:ilvl w:val="0"/>
          <w:numId w:val="1012"/>
        </w:numPr>
      </w:pPr>
      <w:r>
        <w:t xml:space="preserve">an endpoint-rater pilot for</w:t>
      </w:r>
      <w:r>
        <w:t xml:space="preserve"> </w:t>
      </w:r>
      <w:r>
        <w:rPr>
          <w:rStyle w:val="VerbatimChar"/>
        </w:rPr>
        <w:t xml:space="preserve">SRR</w:t>
      </w:r>
      <w:r>
        <w:t xml:space="preserve">,</w:t>
      </w:r>
      <w:r>
        <w:t xml:space="preserve"> </w:t>
      </w:r>
      <w:r>
        <w:rPr>
          <w:rStyle w:val="VerbatimChar"/>
        </w:rPr>
        <w:t xml:space="preserve">OCA</w:t>
      </w:r>
      <w:r>
        <w:t xml:space="preserve">,</w:t>
      </w:r>
      <w:r>
        <w:t xml:space="preserve"> </w:t>
      </w:r>
      <w:r>
        <w:rPr>
          <w:rStyle w:val="VerbatimChar"/>
        </w:rPr>
        <w:t xml:space="preserve">PAR</w:t>
      </w:r>
      <w:r>
        <w:t xml:space="preserve">, and</w:t>
      </w:r>
      <w:r>
        <w:t xml:space="preserve"> </w:t>
      </w:r>
      <w:r>
        <w:rPr>
          <w:rStyle w:val="VerbatimChar"/>
        </w:rPr>
        <w:t xml:space="preserve">RCS</w:t>
      </w:r>
      <w:r>
        <w:t xml:space="preserve">.</w:t>
      </w:r>
    </w:p>
    <w:p>
      <w:pPr>
        <w:pStyle w:val="FirstParagraph"/>
      </w:pPr>
      <w:r>
        <w:t xml:space="preserve">Materials for both tracks are included in the public package and on the project page. Any newly confirmed blocker requires a new version; no hidden ontological residual is permitted after observed equivalence.</w:t>
      </w:r>
    </w:p>
    <w:bookmarkEnd w:id="65"/>
    <w:sectPr w:rsidR="00FC693F" w:rsidRPr="0006063C" w:rsidSect="00034616">
      <w:headerReference r:id="rId9" w:type="default"/>
      <w:footerReference r:id="rId10" w:type="default"/>
      <w:pgSz w:h="16838" w:w="11906"/>
      <w:pgMar w:bottom="1037" w:footer="432" w:gutter="0" w:header="432" w:left="1123" w:right="1037" w:top="103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974"/>
        <w:sz w:val="16"/>
      </w:rPr>
      <w:t xml:space="preserve">CC BY 4.0  |  DOI: 10.5281/zenodo.21443105  |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B7C9E2"/>
      </w:pBdr>
    </w:pPr>
    <w:r>
      <w:rPr>
        <w:rFonts w:ascii="Aptos" w:hAnsi="Aptos"/>
        <w:color w:val="5F6974"/>
        <w:sz w:val="16"/>
      </w:rPr>
      <w:t>ESTHER-RP-001 v0.8.1  |  Ivan Kotov</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0">
    <w:nsid w:val="00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10" w:line="254" w:lineRule="auto"/>
    </w:pPr>
    <w:rPr>
      <w:rFonts w:ascii="Aptos" w:eastAsia="Liberation Serif" w:hAnsi="Apto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60"/>
      <w:outlineLvl w:val="0"/>
    </w:pPr>
    <w:rPr>
      <w:rFonts w:ascii="Aptos Display" w:asciiTheme="majorHAnsi" w:cstheme="majorBidi" w:eastAsia="Liberation Sans" w:eastAsiaTheme="majorEastAsia" w:hAnsi="Aptos Display" w:hAnsiTheme="majorHAnsi"/>
      <w:b/>
      <w:bCs/>
      <w:color w:val="1F3A5F"/>
      <w:sz w:val="36"/>
      <w:szCs w:val="28"/>
    </w:rPr>
  </w:style>
  <w:style w:styleId="Heading2" w:type="paragraph">
    <w:name w:val="heading 2"/>
    <w:basedOn w:val="Normal"/>
    <w:next w:val="Normal"/>
    <w:link w:val="Heading2Char"/>
    <w:uiPriority w:val="9"/>
    <w:unhideWhenUsed/>
    <w:qFormat/>
    <w:rsid w:val="00FC693F"/>
    <w:pPr>
      <w:keepNext/>
      <w:keepLines/>
      <w:spacing w:after="100" w:before="260"/>
      <w:outlineLvl w:val="1"/>
    </w:pPr>
    <w:rPr>
      <w:rFonts w:ascii="Aptos Display" w:asciiTheme="majorHAnsi" w:cstheme="majorBidi" w:eastAsia="Liberation Sans" w:eastAsiaTheme="majorEastAsia" w:hAnsi="Aptos Display" w:hAnsiTheme="majorHAnsi"/>
      <w:b/>
      <w:bCs/>
      <w:color w:val="1F3A5F"/>
      <w:sz w:val="28"/>
      <w:szCs w:val="26"/>
    </w:rPr>
  </w:style>
  <w:style w:styleId="Heading3" w:type="paragraph">
    <w:name w:val="heading 3"/>
    <w:basedOn w:val="Normal"/>
    <w:next w:val="Normal"/>
    <w:link w:val="Heading3Char"/>
    <w:uiPriority w:val="9"/>
    <w:unhideWhenUsed/>
    <w:qFormat/>
    <w:rsid w:val="00FC693F"/>
    <w:pPr>
      <w:keepNext/>
      <w:keepLines/>
      <w:spacing w:after="100" w:before="260"/>
      <w:outlineLvl w:val="2"/>
    </w:pPr>
    <w:rPr>
      <w:rFonts w:ascii="Aptos Display" w:asciiTheme="majorHAnsi" w:cstheme="majorBidi" w:eastAsia="Liberation Sans" w:eastAsiaTheme="majorEastAsia" w:hAnsi="Aptos Display" w:hAnsiTheme="majorHAnsi"/>
      <w:b/>
      <w:bCs/>
      <w:color w:val="335C81"/>
      <w:sz w:val="23"/>
    </w:rPr>
  </w:style>
  <w:style w:styleId="Heading4" w:type="paragraph">
    <w:name w:val="heading 4"/>
    <w:basedOn w:val="Normal"/>
    <w:next w:val="Normal"/>
    <w:link w:val="Heading4Char"/>
    <w:uiPriority w:val="9"/>
    <w:semiHidden/>
    <w:unhideWhenUsed/>
    <w:qFormat/>
    <w:rsid w:val="00FC693F"/>
    <w:pPr>
      <w:keepNext/>
      <w:keepLines/>
      <w:spacing w:after="60" w:before="160"/>
      <w:outlineLvl w:val="3"/>
    </w:pPr>
    <w:rPr>
      <w:rFonts w:ascii="Liberation Sans" w:asciiTheme="majorHAnsi" w:cstheme="majorBidi" w:eastAsia="Liberation Sans" w:eastAsiaTheme="majorEastAsia" w:hAnsi="Liberation Sans" w:hAnsiTheme="majorHAnsi"/>
      <w:b/>
      <w:bCs/>
      <w:i/>
      <w:iCs/>
      <w:color w:val="666666"/>
      <w:sz w:val="21"/>
    </w:rPr>
  </w:style>
  <w:style w:styleId="Heading5" w:type="paragraph">
    <w:name w:val="heading 5"/>
    <w:basedOn w:val="Normal"/>
    <w:next w:val="Normal"/>
    <w:link w:val="Heading5Char"/>
    <w:uiPriority w:val="9"/>
    <w:semiHidden/>
    <w:unhideWhenUsed/>
    <w:qFormat/>
    <w:rsid w:val="00FC693F"/>
    <w:pPr>
      <w:keepNext/>
      <w:keepLines/>
      <w:spacing w:after="40" w:before="120"/>
      <w:outlineLvl w:val="4"/>
    </w:pPr>
    <w:rPr>
      <w:rFonts w:ascii="Liberation Sans" w:asciiTheme="majorHAnsi" w:cstheme="majorBidi" w:eastAsia="Liberation Sans" w:eastAsiaTheme="majorEastAsia" w:hAnsi="Liberation Sans" w:hAnsiTheme="majorHAnsi"/>
      <w:b/>
      <w:color w:val="666666"/>
      <w:sz w:val="20"/>
    </w:rPr>
  </w:style>
  <w:style w:styleId="Heading6" w:type="paragraph">
    <w:name w:val="heading 6"/>
    <w:basedOn w:val="Normal"/>
    <w:next w:val="Normal"/>
    <w:link w:val="Heading6Char"/>
    <w:uiPriority w:val="9"/>
    <w:semiHidden/>
    <w:unhideWhenUsed/>
    <w:qFormat/>
    <w:rsid w:val="00FC693F"/>
    <w:pPr>
      <w:keepNext/>
      <w:keepLines/>
      <w:spacing w:after="40" w:before="120"/>
      <w:outlineLvl w:val="5"/>
    </w:pPr>
    <w:rPr>
      <w:rFonts w:ascii="Liberation Sans" w:asciiTheme="majorHAnsi" w:cstheme="majorBidi" w:eastAsia="Liberation Sans" w:eastAsiaTheme="majorEastAsia" w:hAnsi="Liberation Sans" w:hAnsiTheme="majorHAnsi"/>
      <w:b/>
      <w:i/>
      <w:iCs/>
      <w:color w:val="666666"/>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0" w:line="240" w:lineRule="auto"/>
      <w:contextualSpacing/>
    </w:pPr>
    <w:rPr>
      <w:rFonts w:ascii="Aptos Display" w:asciiTheme="majorHAnsi" w:cstheme="majorBidi" w:eastAsia="Liberation Sans" w:eastAsiaTheme="majorEastAsia" w:hAnsi="Aptos Display" w:hAnsiTheme="majorHAnsi"/>
      <w:b/>
      <w:color w:val="17365D"/>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60" w:before="0"/>
    </w:pPr>
    <w:rPr>
      <w:rFonts w:ascii="Aptos Display" w:asciiTheme="majorHAnsi" w:cstheme="majorBidi" w:eastAsia="Liberation Sans" w:eastAsiaTheme="majorEastAsia" w:hAnsi="Aptos Display" w:hAnsiTheme="majorHAnsi"/>
      <w:b/>
      <w:i/>
      <w:iCs/>
      <w:color w:val="274E75"/>
      <w:spacing w:val="15"/>
      <w:sz w:val="4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10" w:line="254" w:lineRule="auto"/>
    </w:pPr>
    <w:rPr>
      <w:rFonts w:ascii="Aptos" w:eastAsia="Liberation Serif" w:hAnsi="Aptos"/>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10" w:line="254" w:lineRule="auto"/>
    </w:pPr>
    <w:rPr>
      <w:rFonts w:ascii="Aptos" w:hAnsi="Aptos"/>
      <w:sz w:val="20"/>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10" w:line="254" w:lineRule="auto"/>
    </w:pPr>
    <w:rPr>
      <w:rFonts w:ascii="Aptos" w:hAnsi="Aptos"/>
      <w:sz w:val="20"/>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20" w:before="100"/>
      <w:ind w:left="425" w:right="198"/>
    </w:pPr>
    <w:rPr>
      <w:rFonts w:ascii="Aptos" w:eastAsia="Liberation Serif" w:hAnsi="Aptos"/>
      <w:i/>
      <w:iCs/>
      <w:color w:val="3F3F3F"/>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Liberation Sans" w:eastAsia="Liberation Sans" w:hAnsi="Liberation Sans"/>
      <w:b/>
      <w:bCs/>
      <w:i/>
      <w:color w:themeColor="accent1" w:val="4F81BD"/>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Liberation Serif" w:eastAsia="Liberation Serif" w:hAnsi="Liberation Serif"/>
      <w:sz w:val="17"/>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ReleaseStatus" w:type="paragraph">
    <w:name w:val="Release Status"/>
    <w:pPr>
      <w:spacing w:after="120"/>
    </w:pPr>
    <w:rPr>
      <w:rFonts w:ascii="Aptos" w:eastAsia="Liberation Sans" w:hAnsi="Aptos"/>
      <w:b w:val="0"/>
      <w:color w:val="334455"/>
      <w:sz w:val="18"/>
    </w:rPr>
  </w:style>
  <w:style w:customStyle="1" w:styleId="Tagline" w:type="paragraph">
    <w:name w:val="Tagline"/>
    <w:pPr>
      <w:spacing w:after="320"/>
    </w:pPr>
    <w:rPr>
      <w:rFonts w:ascii="Aptos" w:eastAsia="Liberation Sans" w:hAnsi="Aptos"/>
      <w:b w:val="0"/>
      <w:i/>
      <w:color w:val="4D5D6C"/>
      <w:sz w:val="26"/>
    </w:rPr>
  </w:style>
  <w:style w:customStyle="1" w:styleId="SourceCode" w:type="paragraph">
    <w:name w:val="Source Code"/>
    <w:basedOn w:val="Normal"/>
    <w:link w:val="VerbatimChar"/>
    <w:pPr>
      <w:wordWrap w:val="off"/>
      <w:spacing w:before="60" w:after="120"/>
    </w:pPr>
    <w:rPr>
      <w:rFonts w:ascii="Cascadia Mono" w:hAnsi="Cascadia Mono"/>
      <w:sz w:val="16"/>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2" Type="http://schemas.openxmlformats.org/officeDocument/2006/relationships/hyperlink" Target="https://doi.org/10.5281/zenodo.20679718" TargetMode="External"/><Relationship Id="rId20" Type="http://schemas.openxmlformats.org/officeDocument/2006/relationships/hyperlink" Target="https://doi.org/10.5281/zenodo.21443105" TargetMode="External"/><Relationship Id="rId21" Type="http://schemas.openxmlformats.org/officeDocument/2006/relationships/hyperlink" Target="https://zenodo.org/records/21443105"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doi.org/10.5281/zenodo.20679718" TargetMode="External"/><Relationship Id="rId20" Type="http://schemas.openxmlformats.org/officeDocument/2006/relationships/hyperlink" Target="https://doi.org/10.5281/zenodo.21443105" TargetMode="External"/><Relationship Id="rId21" Type="http://schemas.openxmlformats.org/officeDocument/2006/relationships/hyperlink" Target="https://zenodo.org/records/214431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ESTHER-RP-001: Centered Agency Under Persistent Uncertainty</dc:title>
  <dc:creator>Ivan Kotov</dc:creator>
  <cp:keywords>centered agency; causal memory; belief revision; reproducibility; Project Ester</cp:keywords>
  <dcterms:created xsi:type="dcterms:W3CDTF">2026-07-19T15:48:25Z</dcterms:created>
  <dcterms:modified xsi:type="dcterms:W3CDTF">2026-07-19T15:48:25Z</dcterms:modified>
  <dc:subject>English public working paper and bounded executable review package</dc:subject>
  <dc:description>Version DOI 10.5281/zenodo.21443105; public release v0.8.1</dc:description>
</cp:coreProperties>
</file>

<file path=docProps/custom.xml><?xml version="1.0" encoding="utf-8"?>
<Properties xmlns="http://schemas.openxmlformats.org/officeDocument/2006/custom-properties" xmlns:vt="http://schemas.openxmlformats.org/officeDocument/2006/docPropsVTypes"/>
</file>