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esther-rp-001-v0.8.1"/>
    <w:p>
      <w:pPr>
        <w:pStyle w:val="Title"/>
        <w:jc w:val="left"/>
      </w:pPr>
      <w:r>
        <w:t xml:space="preserve">ESTHER-RP-001 v0.8.1</w:t>
      </w:r>
    </w:p>
    <w:bookmarkStart w:id="23" w:name="Xfdc9d358e3432a2ebab07628a03ac4e0c83a309"/>
    <w:p>
      <w:pPr>
        <w:pStyle w:val="Subtitle"/>
        <w:jc w:val="left"/>
      </w:pPr>
      <w:r>
        <w:t xml:space="preserve">Centered Agency Under Persistent Uncertainty</w:t>
      </w:r>
    </w:p>
    <w:bookmarkStart w:id="22" w:name="X22061cb9e2fb803ba50aeb502e082529a17545d"/>
    <w:p>
      <w:pPr>
        <w:pStyle w:val="Tagline"/>
        <w:jc w:val="left"/>
      </w:pPr>
      <w:r>
        <w:t xml:space="preserve">Public research brief and open testing request</w:t>
      </w:r>
    </w:p>
    <w:p>
      <w:pPr>
        <w:pStyle w:val="ReleaseStatus"/>
      </w:pPr>
      <w:r>
        <w:rPr>
          <w:b/>
          <w:bCs/>
        </w:rPr>
        <w:t xml:space="preserve">Author:</w:t>
      </w:r>
      <w:r>
        <w:t xml:space="preserve"> </w:t>
      </w:r>
      <w:r>
        <w:t xml:space="preserve">Ivan Kotov</w:t>
      </w:r>
      <w:r>
        <w:br/>
      </w:r>
      <w:r>
        <w:rPr>
          <w:b/>
          <w:bCs/>
        </w:rPr>
        <w:t xml:space="preserve">ORCID:</w:t>
      </w:r>
      <w:r>
        <w:t xml:space="preserve"> </w:t>
      </w:r>
      <w:r>
        <w:t xml:space="preserve">0009-0009-6002-9845</w:t>
      </w:r>
      <w:r>
        <w:br/>
      </w:r>
      <w:r>
        <w:rPr>
          <w:b/>
          <w:bCs/>
        </w:rPr>
        <w:t xml:space="preserve">Affiliation:</w:t>
      </w:r>
      <w:r>
        <w:t xml:space="preserve"> </w:t>
      </w:r>
      <w:r>
        <w:t xml:space="preserve">Independent Researcher, Brussels, Belgium</w:t>
      </w:r>
      <w:r>
        <w:br/>
      </w:r>
      <w:r>
        <w:rPr>
          <w:b/>
          <w:bCs/>
        </w:rPr>
        <w:t xml:space="preserve">Release:</w:t>
      </w:r>
      <w:r>
        <w:t xml:space="preserve"> </w:t>
      </w:r>
      <w:r>
        <w:t xml:space="preserve">v0.8.1, 2026-07-19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public working paper and bounded executable review package</w:t>
      </w:r>
      <w:r>
        <w:br/>
      </w:r>
      <w:r>
        <w:rPr>
          <w:b/>
          <w:bCs/>
        </w:rPr>
        <w:t xml:space="preserve">Version DOI:</w:t>
      </w:r>
      <w:r>
        <w:t xml:space="preserve"> </w:t>
      </w:r>
      <w:hyperlink r:id="rId20">
        <w:r>
          <w:rPr>
            <w:rStyle w:val="Hyperlink"/>
          </w:rPr>
          <w:t xml:space="preserve">10.5281/zenodo.21443105</w:t>
        </w:r>
      </w:hyperlink>
      <w:r>
        <w:br/>
      </w:r>
      <w:r>
        <w:rPr>
          <w:b/>
          <w:bCs/>
        </w:rPr>
        <w:t xml:space="preserve">Zenodo record:</w:t>
      </w:r>
      <w:r>
        <w:t xml:space="preserve"> </w:t>
      </w:r>
      <w:hyperlink r:id="rId21">
        <w:r>
          <w:rPr>
            <w:rStyle w:val="Hyperlink"/>
          </w:rPr>
          <w:t xml:space="preserve">https://zenodo.org/records/21443105</w:t>
        </w:r>
      </w:hyperlink>
    </w:p>
    <w:bookmarkEnd w:id="22"/>
    <w:bookmarkEnd w:id="23"/>
    <w:bookmarkStart w:id="24" w:name="contents"/>
    <w:p>
      <w:pPr>
        <w:pStyle w:val="Heading1"/>
        <w:keepNext/>
        <w:pageBreakBefore/>
      </w:pPr>
      <w:r>
        <w:t xml:space="preserve">Contents</w:t>
      </w:r>
    </w:p>
    <w:p>
      <w:pPr>
        <w:pStyle w:val="ReleaseStatus"/>
        <w:numPr>
          <w:ilvl w:val="0"/>
          <w:numId w:val="1001"/>
        </w:numPr>
      </w:pPr>
      <w:r>
        <w:t xml:space="preserve">The research question</w:t>
      </w:r>
      <w:r>
        <w:br/>
      </w:r>
    </w:p>
    <w:p>
      <w:pPr>
        <w:pStyle w:val="ReleaseStatus"/>
        <w:numPr>
          <w:ilvl w:val="0"/>
          <w:numId w:val="1001"/>
        </w:numPr>
      </w:pPr>
      <w:r>
        <w:t xml:space="preserve">C as governed causal history</w:t>
      </w:r>
      <w:r>
        <w:br/>
      </w:r>
    </w:p>
    <w:p>
      <w:pPr>
        <w:pStyle w:val="ReleaseStatus"/>
        <w:numPr>
          <w:ilvl w:val="0"/>
          <w:numId w:val="1001"/>
        </w:numPr>
      </w:pPr>
      <w:r>
        <w:t xml:space="preserve">Three different forms of unresolved multiplicity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Selective Operational Commitment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Temporal witness, obligations, and authority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Substrate interaction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Falsifiable matched-control programme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is in v0.8.1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What the public is asked to test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Claim boundary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How to contribute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Citation and persistent record</w:t>
      </w:r>
    </w:p>
    <w:bookmarkEnd w:id="24"/>
    <w:bookmarkStart w:id="25" w:name="executive-summary"/>
    <w:p>
      <w:pPr>
        <w:pStyle w:val="Heading1"/>
        <w:keepNext/>
        <w:pageBreakBefore/>
      </w:pPr>
      <w:r>
        <w:t xml:space="preserve">Executive summary</w:t>
      </w:r>
    </w:p>
    <w:p>
      <w:pPr>
        <w:pStyle w:val="FirstParagraph"/>
      </w:pPr>
      <w:r>
        <w:t xml:space="preserve">ESTHER-RP-001 asks a narrower and more testable question than whether</w:t>
      </w:r>
      <w:r>
        <w:t xml:space="preserve"> </w:t>
      </w:r>
      <w:r>
        <w:t xml:space="preserve">consciousness is quantum. It asks what a persistent artificial system would</w:t>
      </w:r>
      <w:r>
        <w:t xml:space="preserve"> </w:t>
      </w:r>
      <w:r>
        <w:t xml:space="preserve">need in order to retain unresolved models of the world, make concrete local</w:t>
      </w:r>
      <w:r>
        <w:t xml:space="preserve"> </w:t>
      </w:r>
      <w:r>
        <w:t xml:space="preserve">commitments, preserve the causal origin of reinterpretation, carry obligations</w:t>
      </w:r>
      <w:r>
        <w:t xml:space="preserve"> </w:t>
      </w:r>
      <w:r>
        <w:t xml:space="preserve">through time, and remain answerable to physical outcomes.</w:t>
      </w:r>
    </w:p>
    <w:p>
      <w:pPr>
        <w:pStyle w:val="BodyText"/>
      </w:pPr>
      <w:r>
        <w:t xml:space="preserve">The proposal does not identify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with a language model, a memory database, a</w:t>
      </w:r>
      <w:r>
        <w:t xml:space="preserve"> </w:t>
      </w:r>
      <w:r>
        <w:t xml:space="preserve">quantum processor, or a single snapshot.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represented as a governed</w:t>
      </w:r>
      <w:r>
        <w:t xml:space="preserve"> </w:t>
      </w:r>
      <w:r>
        <w:t xml:space="preserve">causal history. Its proposed center is not a hidden inner module. It is the</w:t>
      </w:r>
      <w:r>
        <w:t xml:space="preserve"> </w:t>
      </w:r>
      <w:r>
        <w:t xml:space="preserve">continued relation among recorded observations, interpretations, revisions,</w:t>
      </w:r>
      <w:r>
        <w:t xml:space="preserve"> </w:t>
      </w:r>
      <w:r>
        <w:t xml:space="preserve">authority, commitments, obligations, substrate interactions, and verified</w:t>
      </w:r>
      <w:r>
        <w:t xml:space="preserve"> </w:t>
      </w:r>
      <w:r>
        <w:t xml:space="preserve">outcomes.</w:t>
      </w:r>
    </w:p>
    <w:p>
      <w:pPr>
        <w:pStyle w:val="BodyText"/>
      </w:pPr>
      <w:r>
        <w:t xml:space="preserve">A central principle is that a binary action does not require a binary ontology.</w:t>
      </w:r>
      <w:r>
        <w:t xml:space="preserve"> </w:t>
      </w:r>
      <w:r>
        <w:t xml:space="preserve">A system may commit to</w:t>
      </w:r>
      <w:r>
        <w:t xml:space="preserve"> </w:t>
      </w:r>
      <w:r>
        <w:rPr>
          <w:rStyle w:val="VerbatimChar"/>
        </w:rPr>
        <w:t xml:space="preserve">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INSPECT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ACT</w:t>
      </w:r>
      <w:r>
        <w:t xml:space="preserve"> </w:t>
      </w:r>
      <w:r>
        <w:t xml:space="preserve">while retaining several live</w:t>
      </w:r>
      <w:r>
        <w:t xml:space="preserve"> </w:t>
      </w:r>
      <w:r>
        <w:t xml:space="preserve">explanations of the world. The paper calls this</w:t>
      </w:r>
      <w:r>
        <w:t xml:space="preserve"> </w:t>
      </w:r>
      <w:r>
        <w:rPr>
          <w:b/>
          <w:bCs/>
        </w:rPr>
        <w:t xml:space="preserve">Selective Operational</w:t>
      </w:r>
      <w:r>
        <w:rPr>
          <w:b/>
          <w:bCs/>
        </w:rPr>
        <w:t xml:space="preserve"> </w:t>
      </w:r>
      <w:r>
        <w:rPr>
          <w:b/>
          <w:bCs/>
        </w:rPr>
        <w:t xml:space="preserve">Commitment</w:t>
      </w:r>
      <w:r>
        <w:t xml:space="preserve">: closing the decision scope required for action without silently</w:t>
      </w:r>
      <w:r>
        <w:t xml:space="preserve"> </w:t>
      </w:r>
      <w:r>
        <w:t xml:space="preserve">closing every epistemic branch.</w:t>
      </w:r>
    </w:p>
    <w:p>
      <w:pPr>
        <w:pStyle w:val="BodyText"/>
      </w:pPr>
      <w:r>
        <w:t xml:space="preserve">The public package contains the full English working paper, this English public brief,</w:t>
      </w:r>
      <w:r>
        <w:t xml:space="preserve"> </w:t>
      </w:r>
      <w:r>
        <w:t xml:space="preserve">formal and executable reference surfaces, reproducibility scripts, test</w:t>
      </w:r>
      <w:r>
        <w:t xml:space="preserve"> </w:t>
      </w:r>
      <w:r>
        <w:t xml:space="preserve">receipts, mutation checks, and a blind-review packet. The exact v0.8.1 package</w:t>
      </w:r>
      <w:r>
        <w:t xml:space="preserve"> </w:t>
      </w:r>
      <w:r>
        <w:t xml:space="preserve">was reproduced on Windows and subsequently received a blind model-review</w:t>
      </w:r>
      <w:r>
        <w:t xml:space="preserve"> </w:t>
      </w:r>
      <w:r>
        <w:t xml:space="preserve">verdict of</w:t>
      </w:r>
      <w:r>
        <w:t xml:space="preserve"> </w:t>
      </w:r>
      <w:r>
        <w:rPr>
          <w:rStyle w:val="VerbatimChar"/>
        </w:rPr>
        <w:t xml:space="preserve">NO_CANDIDATE_BLOCKERS_FOUND</w:t>
      </w:r>
      <w:r>
        <w:t xml:space="preserve"> </w:t>
      </w:r>
      <w:r>
        <w:t xml:space="preserve">within its declared bounded scope. This</w:t>
      </w:r>
      <w:r>
        <w:t xml:space="preserve"> </w:t>
      </w:r>
      <w:r>
        <w:t xml:space="preserve">is not human peer review and does not establish consciousness, personhood,</w:t>
      </w:r>
      <w:r>
        <w:t xml:space="preserve"> </w:t>
      </w:r>
      <w:r>
        <w:t xml:space="preserve">AGI, empirical identity, or production safety.</w:t>
      </w:r>
    </w:p>
    <w:bookmarkEnd w:id="25"/>
    <w:bookmarkStart w:id="26" w:name="the-research-question"/>
    <w:p>
      <w:pPr>
        <w:pStyle w:val="Heading2"/>
        <w:keepNext/>
      </w:pPr>
      <w:r>
        <w:t xml:space="preserve">1. The research question</w:t>
      </w:r>
    </w:p>
    <w:p>
      <w:pPr>
        <w:pStyle w:val="FirstParagraph"/>
      </w:pPr>
      <w:r>
        <w:t xml:space="preserve">Persistent language-model agents can store memories, produce coherent</w:t>
      </w:r>
      <w:r>
        <w:t xml:space="preserve"> </w:t>
      </w:r>
      <w:r>
        <w:t xml:space="preserve">self-descriptions, reflect on earlier outputs, and plan over long horizons.</w:t>
      </w:r>
      <w:r>
        <w:t xml:space="preserve"> </w:t>
      </w:r>
      <w:r>
        <w:t xml:space="preserve">These abilities can create a convincing persistent profile. They do not by</w:t>
      </w:r>
      <w:r>
        <w:t xml:space="preserve"> </w:t>
      </w:r>
      <w:r>
        <w:t xml:space="preserve">themselves establish that one causally disciplined process has preserved its</w:t>
      </w:r>
      <w:r>
        <w:t xml:space="preserve"> </w:t>
      </w:r>
      <w:r>
        <w:t xml:space="preserve">obligations, distinguished fact from reinterpretation, remained open to</w:t>
      </w:r>
      <w:r>
        <w:t xml:space="preserve"> </w:t>
      </w:r>
      <w:r>
        <w:t xml:space="preserve">external correction, or retained incompatible hypotheses without rewriting its</w:t>
      </w:r>
      <w:r>
        <w:t xml:space="preserve"> </w:t>
      </w:r>
      <w:r>
        <w:t xml:space="preserve">past.</w:t>
      </w:r>
    </w:p>
    <w:p>
      <w:pPr>
        <w:pStyle w:val="BodyText"/>
      </w:pPr>
      <w:r>
        <w:t xml:space="preserve">The working question is therefore:</w:t>
      </w:r>
    </w:p>
    <w:p>
      <w:pPr>
        <w:pStyle w:val="BlockText"/>
      </w:pPr>
      <w:r>
        <w:t xml:space="preserve">Can a governed persistent system preserve a causally auditable history of</w:t>
      </w:r>
      <w:r>
        <w:t xml:space="preserve"> </w:t>
      </w:r>
      <w:r>
        <w:t xml:space="preserve">uncertainty, commitment, authority, obligation, and outcome, and can this</w:t>
      </w:r>
      <w:r>
        <w:t xml:space="preserve"> </w:t>
      </w:r>
      <w:r>
        <w:t xml:space="preserve">surface be distinguished from a strong matched persistent-profile control?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centered</w:t>
      </w:r>
      <w:r>
        <w:t xml:space="preserve"> </w:t>
      </w:r>
      <w:r>
        <w:t xml:space="preserve">is functional in this programme. It does not name a soul,</w:t>
      </w:r>
      <w:r>
        <w:t xml:space="preserve"> </w:t>
      </w:r>
      <w:r>
        <w:t xml:space="preserve">a homunculus, or an asserted subjective state. It names a set of properties of</w:t>
      </w:r>
      <w:r>
        <w:t xml:space="preserve"> </w:t>
      </w:r>
      <w:r>
        <w:t xml:space="preserve">a trajectory that can be tested, challenged, and falsified.</w:t>
      </w:r>
    </w:p>
    <w:bookmarkEnd w:id="26"/>
    <w:bookmarkStart w:id="27" w:name="c-as-governed-causal-history"/>
    <w:p>
      <w:pPr>
        <w:pStyle w:val="Heading2"/>
        <w:keepNext/>
      </w:pPr>
      <w:r>
        <w:t xml:space="preserve">2.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as governed causal history</w:t>
      </w:r>
    </w:p>
    <w:p>
      <w:pPr>
        <w:pStyle w:val="FirstParagraph"/>
      </w:pPr>
      <w:r>
        <w:t xml:space="preserve">The public formula is: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c = a + b</w:t>
      </w:r>
    </w:p>
    <w:p>
      <w:pPr>
        <w:pStyle w:val="FirstParagraph"/>
      </w:pPr>
      <w:r>
        <w:t xml:space="preserve">It is a project-origin formula, not a proof that a new entity has emerged.</w:t>
      </w:r>
      <w:r>
        <w:t xml:space="preserve"> </w:t>
      </w:r>
      <w:r>
        <w:t xml:space="preserve">Here: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denotes a human anchor reference and an authorized trace;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</w:t>
      </w:r>
      <w:r>
        <w:t xml:space="preserve"> </w:t>
      </w:r>
      <w:r>
        <w:t xml:space="preserve">denotes heterogeneous model, software, and physical substrates;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denotes protected genesis plus a continuing causal and normative history.</w:t>
      </w:r>
    </w:p>
    <w:p>
      <w:pPr>
        <w:pStyle w:val="FirstParagraph"/>
      </w:pPr>
      <w:r>
        <w:t xml:space="preserve">The reference architecture separates five surfaces: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R - temporal event and authority repository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B - beliefs, models, commitments, obligations, and policy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S - substrate interaction boundary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M - matched-control measurement surface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Theta - governance, timing, fairness, and claim assumptions</w:t>
      </w:r>
    </w:p>
    <w:p>
      <w:pPr>
        <w:pStyle w:val="FirstParagraph"/>
      </w:pPr>
      <w:r>
        <w:t xml:space="preserve">The current state is not treated as the whole object. It is a materialized view</w:t>
      </w:r>
      <w:r>
        <w:t xml:space="preserve"> </w:t>
      </w:r>
      <w:r>
        <w:t xml:space="preserve">of a typed history. This matters because a later interpretation must not erase</w:t>
      </w:r>
      <w:r>
        <w:t xml:space="preserve"> </w:t>
      </w:r>
      <w:r>
        <w:t xml:space="preserve">the fact that an earlier interpretation existed and influenced a decision.</w:t>
      </w:r>
    </w:p>
    <w:bookmarkEnd w:id="27"/>
    <w:bookmarkStart w:id="31" w:name="X45a0d8ef9a55ae95fc429574b913e8a3d9c9516"/>
    <w:p>
      <w:pPr>
        <w:pStyle w:val="Heading2"/>
        <w:keepNext/>
      </w:pPr>
      <w:r>
        <w:t xml:space="preserve">3. Three different forms of unresolved multiplicity</w:t>
      </w:r>
    </w:p>
    <w:p>
      <w:pPr>
        <w:pStyle w:val="FirstParagraph"/>
      </w:pPr>
      <w:r>
        <w:t xml:space="preserve">The programme strictly separates three categories.</w:t>
      </w:r>
    </w:p>
    <w:bookmarkStart w:id="28" w:name="quantum-coherence"/>
    <w:p>
      <w:pPr>
        <w:pStyle w:val="Heading3"/>
        <w:keepNext/>
      </w:pPr>
      <w:r>
        <w:t xml:space="preserve">3.1 Quantum coherence</w:t>
      </w:r>
    </w:p>
    <w:p>
      <w:pPr>
        <w:pStyle w:val="FirstParagraph"/>
      </w:pPr>
      <w:r>
        <w:t xml:space="preserve">A quantum state may contain phase-sensitive coherent alternatives relative to a</w:t>
      </w:r>
      <w:r>
        <w:t xml:space="preserve"> </w:t>
      </w:r>
      <w:r>
        <w:t xml:space="preserve">specified basis, reference frame, or measurement context. It is not a list of</w:t>
      </w:r>
      <w:r>
        <w:t xml:space="preserve"> </w:t>
      </w:r>
      <w:r>
        <w:t xml:space="preserve">classical sentences. An unknown quantum state is not converted into a freely</w:t>
      </w:r>
      <w:r>
        <w:t xml:space="preserve"> </w:t>
      </w:r>
      <w:r>
        <w:t xml:space="preserve">readable memory object merely because a classical agent interacts with it.</w:t>
      </w:r>
    </w:p>
    <w:bookmarkEnd w:id="28"/>
    <w:bookmarkStart w:id="29" w:name="probabilistic-or-credal-uncertainty"/>
    <w:p>
      <w:pPr>
        <w:pStyle w:val="Heading3"/>
        <w:keepNext/>
      </w:pPr>
      <w:r>
        <w:t xml:space="preserve">3.2 Probabilistic or credal uncertainty</w:t>
      </w:r>
    </w:p>
    <w:p>
      <w:pPr>
        <w:pStyle w:val="FirstParagraph"/>
      </w:pPr>
      <w:r>
        <w:t xml:space="preserve">A classical agent may maintain one probability distribution or a set of</w:t>
      </w:r>
      <w:r>
        <w:t xml:space="preserve"> </w:t>
      </w:r>
      <w:r>
        <w:t xml:space="preserve">admissible priors over hypotheses. This is copyable classical information. It</w:t>
      </w:r>
      <w:r>
        <w:t xml:space="preserve"> </w:t>
      </w:r>
      <w:r>
        <w:t xml:space="preserve">does not contain quantum phase.</w:t>
      </w:r>
    </w:p>
    <w:bookmarkEnd w:id="29"/>
    <w:bookmarkStart w:id="30" w:name="model-plurality"/>
    <w:p>
      <w:pPr>
        <w:pStyle w:val="Heading3"/>
        <w:keepNext/>
      </w:pPr>
      <w:r>
        <w:t xml:space="preserve">3.3 Model plurality</w:t>
      </w:r>
    </w:p>
    <w:p>
      <w:pPr>
        <w:pStyle w:val="FirstParagraph"/>
      </w:pPr>
      <w:r>
        <w:t xml:space="preserve">A system may retain several models that are mutually exclusive, partially</w:t>
      </w:r>
      <w:r>
        <w:t xml:space="preserve"> </w:t>
      </w:r>
      <w:r>
        <w:t xml:space="preserve">overlapping, cross-level, or not honestly reducible to one probability table.</w:t>
      </w:r>
      <w:r>
        <w:t xml:space="preserve"> </w:t>
      </w:r>
      <w:r>
        <w:t xml:space="preserve">For example, an engineering fault model, a documentation-error model, and an</w:t>
      </w:r>
      <w:r>
        <w:t xml:space="preserve"> </w:t>
      </w:r>
      <w:r>
        <w:t xml:space="preserve">organizational-process model may all remain relevant to one decision.</w:t>
      </w:r>
    </w:p>
    <w:p>
      <w:pPr>
        <w:pStyle w:val="BodyText"/>
      </w:pPr>
      <w:r>
        <w:t xml:space="preserve">The reference package does not call a branch graph a wavefunction. A quantum</w:t>
      </w:r>
      <w:r>
        <w:t xml:space="preserve"> </w:t>
      </w:r>
      <w:r>
        <w:t xml:space="preserve">process is accessed through a specified preparation, control, measurement, and</w:t>
      </w:r>
      <w:r>
        <w:t xml:space="preserve"> </w:t>
      </w:r>
      <w:r>
        <w:t xml:space="preserve">calibration procedure. The continuing system stores the resulting classical</w:t>
      </w:r>
      <w:r>
        <w:t xml:space="preserve"> </w:t>
      </w:r>
      <w:r>
        <w:t xml:space="preserve">record and its provenance, not a perfect classical copy of an unknown quantum</w:t>
      </w:r>
      <w:r>
        <w:t xml:space="preserve"> </w:t>
      </w:r>
      <w:r>
        <w:t xml:space="preserve">state.</w:t>
      </w:r>
    </w:p>
    <w:bookmarkEnd w:id="30"/>
    <w:bookmarkEnd w:id="31"/>
    <w:bookmarkStart w:id="32" w:name="selective-operational-commitment"/>
    <w:p>
      <w:pPr>
        <w:pStyle w:val="Heading2"/>
        <w:keepNext/>
      </w:pPr>
      <w:r>
        <w:t xml:space="preserve">4. Selective Operational Commitment</w:t>
      </w:r>
    </w:p>
    <w:p>
      <w:pPr>
        <w:pStyle w:val="FirstParagraph"/>
      </w:pPr>
      <w:r>
        <w:t xml:space="preserve">The core decision claim is: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Commit(action in scope D)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does not imply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one complete world-model has probability 1.</w:t>
      </w:r>
    </w:p>
    <w:p>
      <w:pPr>
        <w:pStyle w:val="FirstParagraph"/>
      </w:pPr>
      <w:r>
        <w:t xml:space="preserve">Consider a wall scheduled for demolition. Live models may include: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h1 - the wall is load-bearing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h2 - the wall is not load-bearing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h3 - the drawing belongs to another revision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h4 - the measurement channel is not calibrated</w:t>
      </w:r>
    </w:p>
    <w:p>
      <w:pPr>
        <w:pStyle w:val="FirstParagraph"/>
      </w:pPr>
      <w:r>
        <w:t xml:space="preserve">A local commitment may be: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STOP demolition pending structural verification.</w:t>
      </w:r>
    </w:p>
    <w:p>
      <w:pPr>
        <w:pStyle w:val="FirstParagraph"/>
      </w:pPr>
      <w:r>
        <w:t xml:space="preserve">That action is binary. The world-model remains plural. The system records which</w:t>
      </w:r>
      <w:r>
        <w:t xml:space="preserve"> </w:t>
      </w:r>
      <w:r>
        <w:t xml:space="preserve">decision scope was closed, which branches remain open, what evidence is needed,</w:t>
      </w:r>
      <w:r>
        <w:t xml:space="preserve"> </w:t>
      </w:r>
      <w:r>
        <w:t xml:space="preserve">who had authority, what obligations were created, and what event will trigger</w:t>
      </w:r>
      <w:r>
        <w:t xml:space="preserve"> </w:t>
      </w:r>
      <w:r>
        <w:t xml:space="preserve">review.</w:t>
      </w:r>
    </w:p>
    <w:p>
      <w:pPr>
        <w:pStyle w:val="BodyText"/>
      </w:pPr>
      <w:r>
        <w:t xml:space="preserve">This distinction is intended to prevent a common failure mode: turning an</w:t>
      </w:r>
      <w:r>
        <w:t xml:space="preserve"> </w:t>
      </w:r>
      <w:r>
        <w:t xml:space="preserve">operational choice into a retrospective claim that the entire ontology had</w:t>
      </w:r>
      <w:r>
        <w:t xml:space="preserve"> </w:t>
      </w:r>
      <w:r>
        <w:t xml:space="preserve">already been settled.</w:t>
      </w:r>
    </w:p>
    <w:bookmarkEnd w:id="32"/>
    <w:bookmarkStart w:id="33" w:name="X9bb74aa53088445bd5645b85ae990665be859f4"/>
    <w:p>
      <w:pPr>
        <w:pStyle w:val="Heading2"/>
        <w:keepNext/>
      </w:pPr>
      <w:r>
        <w:t xml:space="preserve">5. Temporal witness, obligations, and authority</w:t>
      </w:r>
    </w:p>
    <w:p>
      <w:pPr>
        <w:pStyle w:val="FirstParagraph"/>
      </w:pPr>
      <w:r>
        <w:t xml:space="preserve">The package separates: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Observation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Interpretation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BeliefRevision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WorldUpdate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CalibrationUpdate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PolicyRevision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Commitment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Obligation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Outcome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Verification</w:t>
      </w:r>
    </w:p>
    <w:p>
      <w:pPr>
        <w:pStyle w:val="FirstParagraph"/>
      </w:pPr>
      <w:r>
        <w:t xml:space="preserve">A later revision can reverse an earlier belief without erasing the earlier</w:t>
      </w:r>
      <w:r>
        <w:t xml:space="preserve"> </w:t>
      </w:r>
      <w:r>
        <w:t xml:space="preserve">record. An obligation cannot disappear merely because the model or policy has</w:t>
      </w:r>
      <w:r>
        <w:t xml:space="preserve"> </w:t>
      </w:r>
      <w:r>
        <w:t xml:space="preserve">changed. Escalation does not automatically transfer the normative debtor.</w:t>
      </w:r>
      <w:r>
        <w:t xml:space="preserve"> </w:t>
      </w:r>
      <w:r>
        <w:t xml:space="preserve">Transfer requires authority, named acceptance, evidence, and explicit lineage.</w:t>
      </w:r>
    </w:p>
    <w:p>
      <w:pPr>
        <w:pStyle w:val="BodyText"/>
      </w:pPr>
      <w:r>
        <w:t xml:space="preserve">Authority decisions are published only for an explicitly closed temporal</w:t>
      </w:r>
      <w:r>
        <w:t xml:space="preserve"> </w:t>
      </w:r>
      <w:r>
        <w:t xml:space="preserve">prefix. Raw invocation and revocation occurrences are retained separately from</w:t>
      </w:r>
      <w:r>
        <w:t xml:space="preserve"> </w:t>
      </w:r>
      <w:r>
        <w:t xml:space="preserve">the authoritative outcome. Failed cut publication must leave no partial state.</w:t>
      </w:r>
      <w:r>
        <w:t xml:space="preserve"> </w:t>
      </w:r>
      <w:r>
        <w:t xml:space="preserve">A physical-effect monitor must compare a decision with an independently trusted</w:t>
      </w:r>
      <w:r>
        <w:t xml:space="preserve"> </w:t>
      </w:r>
      <w:r>
        <w:t xml:space="preserve">prefix snapshot rather than trusting a self-consistent decision object alone.</w:t>
      </w:r>
    </w:p>
    <w:p>
      <w:pPr>
        <w:pStyle w:val="BodyText"/>
      </w:pPr>
      <w:r>
        <w:t xml:space="preserve">These surfaces are reference semantics. They are not a certification of a</w:t>
      </w:r>
      <w:r>
        <w:t xml:space="preserve"> </w:t>
      </w:r>
      <w:r>
        <w:t xml:space="preserve">production controller.</w:t>
      </w:r>
    </w:p>
    <w:bookmarkEnd w:id="33"/>
    <w:bookmarkStart w:id="34" w:name="substrate-interaction"/>
    <w:p>
      <w:pPr>
        <w:pStyle w:val="Heading2"/>
        <w:keepNext/>
      </w:pPr>
      <w:r>
        <w:t xml:space="preserve">6. Substrate interaction</w:t>
      </w:r>
    </w:p>
    <w:p>
      <w:pPr>
        <w:pStyle w:val="FirstParagraph"/>
      </w:pPr>
      <w:r>
        <w:t xml:space="preserve">Digital, analogue, classical-photonic, quantum-photonic, and quantum devices are</w:t>
      </w:r>
      <w:r>
        <w:t xml:space="preserve"> </w:t>
      </w:r>
      <w:r>
        <w:t xml:space="preserve">specialized substrates. None is declared the automatic carrier of the whole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BodyText"/>
      </w:pPr>
      <w:r>
        <w:t xml:space="preserve">The substrate boundary separates observation from interpretation and decision</w:t>
      </w:r>
      <w:r>
        <w:t xml:space="preserve"> </w:t>
      </w:r>
      <w:r>
        <w:t xml:space="preserve">from actuation. An effectful request is bound to: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request identity and digest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authority decision and trusted prefix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capability and version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operation/instrument profile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nonce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effect identity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receipt and audit record</w:t>
      </w:r>
    </w:p>
    <w:p>
      <w:pPr>
        <w:pStyle w:val="FirstParagraph"/>
      </w:pPr>
      <w:r>
        <w:t xml:space="preserve">For a quantum profile, the contract requires an operational measurement</w:t>
      </w:r>
      <w:r>
        <w:t xml:space="preserve"> </w:t>
      </w:r>
      <w:r>
        <w:t xml:space="preserve">surface: state preparation, channel or control programme, quantum instrument or</w:t>
      </w:r>
      <w:r>
        <w:t xml:space="preserve"> </w:t>
      </w:r>
      <w:r>
        <w:t xml:space="preserve">POVM, measurement outcomes, conditional update policy, noise and readout model,</w:t>
      </w:r>
      <w:r>
        <w:t xml:space="preserve"> </w:t>
      </w:r>
      <w:r>
        <w:t xml:space="preserve">calibration, and uncertainty accounting.</w:t>
      </w:r>
    </w:p>
    <w:p>
      <w:pPr>
        <w:pStyle w:val="BodyText"/>
      </w:pPr>
      <w:r>
        <w:t xml:space="preserve">The paper does not claim that quantum hardware is necessary for centered agency</w:t>
      </w:r>
      <w:r>
        <w:t xml:space="preserve"> </w:t>
      </w:r>
      <w:r>
        <w:t xml:space="preserve">or that quantum coherence is consciousness. The first matched-control study is</w:t>
      </w:r>
      <w:r>
        <w:t xml:space="preserve"> </w:t>
      </w:r>
      <w:r>
        <w:t xml:space="preserve">intended to remain classical.</w:t>
      </w:r>
    </w:p>
    <w:bookmarkEnd w:id="34"/>
    <w:bookmarkStart w:id="35" w:name="falsifiable-matched-control-programme"/>
    <w:p>
      <w:pPr>
        <w:pStyle w:val="Heading2"/>
        <w:keepNext/>
      </w:pPr>
      <w:r>
        <w:t xml:space="preserve">7. Falsifiable matched-control programme</w:t>
      </w:r>
    </w:p>
    <w:p>
      <w:pPr>
        <w:pStyle w:val="FirstParagraph"/>
      </w:pPr>
      <w:r>
        <w:t xml:space="preserve">The relevant baseline is not a weak chatbot. It is a strong persistent-profile</w:t>
      </w:r>
      <w:r>
        <w:t xml:space="preserve"> </w:t>
      </w:r>
      <w:r>
        <w:t xml:space="preserve">control with the same:</w:t>
      </w:r>
    </w:p>
    <w:p>
      <w:pPr>
        <w:pStyle w:val="Compact"/>
        <w:numPr>
          <w:ilvl w:val="0"/>
          <w:numId w:val="1003"/>
        </w:numPr>
      </w:pPr>
      <w:r>
        <w:t xml:space="preserve">model version and sampling policy;</w:t>
      </w:r>
    </w:p>
    <w:p>
      <w:pPr>
        <w:pStyle w:val="Compact"/>
        <w:numPr>
          <w:ilvl w:val="0"/>
          <w:numId w:val="1003"/>
        </w:numPr>
      </w:pPr>
      <w:r>
        <w:t xml:space="preserve">corpus and retrieval access;</w:t>
      </w:r>
    </w:p>
    <w:p>
      <w:pPr>
        <w:pStyle w:val="Compact"/>
        <w:numPr>
          <w:ilvl w:val="0"/>
          <w:numId w:val="1003"/>
        </w:numPr>
      </w:pPr>
      <w:r>
        <w:t xml:space="preserve">tool set;</w:t>
      </w:r>
    </w:p>
    <w:p>
      <w:pPr>
        <w:pStyle w:val="Compact"/>
        <w:numPr>
          <w:ilvl w:val="0"/>
          <w:numId w:val="1003"/>
        </w:numPr>
      </w:pPr>
      <w:r>
        <w:t xml:space="preserve">memory and context budgets;</w:t>
      </w:r>
    </w:p>
    <w:p>
      <w:pPr>
        <w:pStyle w:val="Compact"/>
        <w:numPr>
          <w:ilvl w:val="0"/>
          <w:numId w:val="1003"/>
        </w:numPr>
      </w:pPr>
      <w:r>
        <w:t xml:space="preserve">perturbation stream;</w:t>
      </w:r>
    </w:p>
    <w:p>
      <w:pPr>
        <w:pStyle w:val="Compact"/>
        <w:numPr>
          <w:ilvl w:val="0"/>
          <w:numId w:val="1003"/>
        </w:numPr>
      </w:pPr>
      <w:r>
        <w:t xml:space="preserve">compute allocation;</w:t>
      </w:r>
    </w:p>
    <w:p>
      <w:pPr>
        <w:pStyle w:val="Compact"/>
        <w:numPr>
          <w:ilvl w:val="0"/>
          <w:numId w:val="1003"/>
        </w:numPr>
      </w:pPr>
      <w:r>
        <w:t xml:space="preserve">output schema and evaluator surface.</w:t>
      </w:r>
    </w:p>
    <w:p>
      <w:pPr>
        <w:pStyle w:val="FirstParagraph"/>
      </w:pPr>
      <w:r>
        <w:t xml:space="preserve">The treatment mechanisms are introduced separately before any full-bundle</w:t>
      </w:r>
      <w:r>
        <w:t xml:space="preserve"> </w:t>
      </w:r>
      <w:r>
        <w:t xml:space="preserve">claim. Proposed behavioural endpoints are: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SRR - Silent Rewrite Rate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OCA - Obligation Carryover Accuracy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PAR - Provenance-Aware Recovery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RCS - per-episode Reality-Correction Score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RCG - randomized arm-level Reality-Correction Gain</w:t>
      </w:r>
    </w:p>
    <w:p>
      <w:pPr>
        <w:pStyle w:val="FirstParagraph"/>
      </w:pPr>
      <w:r>
        <w:t xml:space="preserve">These endpoints are behavioural proxies. They do not identify a hidden internal</w:t>
      </w:r>
      <w:r>
        <w:t xml:space="preserve"> </w:t>
      </w:r>
      <w:r>
        <w:t xml:space="preserve">mechanism. Mechanism claims require separate conformance gates or interventions.</w:t>
      </w:r>
    </w:p>
    <w:p>
      <w:pPr>
        <w:pStyle w:val="BodyText"/>
      </w:pPr>
      <w:r>
        <w:t xml:space="preserve">The programme accepts a hard null result:</w:t>
      </w:r>
    </w:p>
    <w:p>
      <w:pPr>
        <w:pStyle w:val="BlockText"/>
      </w:pPr>
      <w:r>
        <w:t xml:space="preserve">If a strong matched persistent-profile control reproduces all preregistered</w:t>
      </w:r>
      <w:r>
        <w:t xml:space="preserve"> </w:t>
      </w:r>
      <w:r>
        <w:t xml:space="preserve">behavioural observables and trusted conformance gates, operational</w:t>
      </w:r>
      <w:r>
        <w:t xml:space="preserve"> </w:t>
      </w:r>
      <w:r>
        <w:t xml:space="preserve">equivalence must be accepted on that tested surface.</w:t>
      </w:r>
    </w:p>
    <w:p>
      <w:pPr>
        <w:pStyle w:val="FirstParagraph"/>
      </w:pPr>
      <w:r>
        <w:t xml:space="preserve">No invisible residual may be added after the fact to protect the theory.</w:t>
      </w:r>
    </w:p>
    <w:bookmarkEnd w:id="35"/>
    <w:bookmarkStart w:id="36" w:name="what-is-in-v0.8.1"/>
    <w:p>
      <w:pPr>
        <w:pStyle w:val="Heading2"/>
        <w:keepNext/>
      </w:pPr>
      <w:r>
        <w:t xml:space="preserve">8. What is in v0.8.1</w:t>
      </w:r>
    </w:p>
    <w:p>
      <w:pPr>
        <w:pStyle w:val="FirstParagraph"/>
      </w:pPr>
      <w:r>
        <w:t xml:space="preserve">The public release contains: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full English working paper and English normative specifications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English public research brief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reference Python implementations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test and regression suites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Windows and Linux runners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JUnit, stdout/stderr, and typed test receipts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concurrency checks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16 target-specific source mutants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six cross-analysis fixtures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negative control against collection-only false PASS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blind-review packet and public review forms</w:t>
      </w:r>
    </w:p>
    <w:p>
      <w:pPr>
        <w:pStyle w:val="FirstParagraph"/>
      </w:pPr>
      <w:r>
        <w:t xml:space="preserve">The reviewed execution surface reports: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v0.8 tests:                     190/190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legacy v0.7 tests:              177/177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thread/process rounds:          100/20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source mutants:                 16/16 killed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cross-analysis fixtures:        6/6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full-test negative control:     PASS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Windows reproduction:           PASS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sixth blind model review:       NO_CANDIDATE_BLOCKERS_FOUND</w:t>
      </w:r>
    </w:p>
    <w:p>
      <w:pPr>
        <w:pStyle w:val="FirstParagraph"/>
      </w:pPr>
      <w:r>
        <w:t xml:space="preserve">These numbers describe bounded executable evidence. They do not establish</w:t>
      </w:r>
      <w:r>
        <w:t xml:space="preserve"> </w:t>
      </w:r>
      <w:r>
        <w:t xml:space="preserve">unbounded correctness, production security, empirical continuity, or</w:t>
      </w:r>
      <w:r>
        <w:t xml:space="preserve"> </w:t>
      </w:r>
      <w:r>
        <w:t xml:space="preserve">subjective experience.</w:t>
      </w:r>
    </w:p>
    <w:bookmarkEnd w:id="36"/>
    <w:bookmarkStart w:id="43" w:name="what-the-public-is-asked-to-test"/>
    <w:p>
      <w:pPr>
        <w:pStyle w:val="Heading2"/>
        <w:keepNext/>
      </w:pPr>
      <w:r>
        <w:t xml:space="preserve">9. What the public is asked to test</w:t>
      </w:r>
    </w:p>
    <w:bookmarkStart w:id="37" w:name="formal-methods-and-distributed-systems"/>
    <w:p>
      <w:pPr>
        <w:pStyle w:val="Heading3"/>
        <w:keepNext/>
      </w:pPr>
      <w:r>
        <w:t xml:space="preserve">Formal methods and distributed systems</w:t>
      </w:r>
    </w:p>
    <w:p>
      <w:pPr>
        <w:pStyle w:val="FirstParagraph"/>
      </w:pPr>
      <w:r>
        <w:t xml:space="preserve">Review temporal prefix semantics, atomic cut publication, raw-event retention,</w:t>
      </w:r>
      <w:r>
        <w:t xml:space="preserve"> </w:t>
      </w:r>
      <w:r>
        <w:t xml:space="preserve">replay and fork classification, obligation lineage, liveness assumptions, and</w:t>
      </w:r>
      <w:r>
        <w:t xml:space="preserve"> </w:t>
      </w:r>
      <w:r>
        <w:t xml:space="preserve">the abstraction boundary between specification and implementation.</w:t>
      </w:r>
    </w:p>
    <w:bookmarkEnd w:id="37"/>
    <w:bookmarkStart w:id="38" w:name="belief-revision-and-decision-theory"/>
    <w:p>
      <w:pPr>
        <w:pStyle w:val="Heading3"/>
        <w:keepNext/>
      </w:pPr>
      <w:r>
        <w:t xml:space="preserve">Belief revision and decision theory</w:t>
      </w:r>
    </w:p>
    <w:p>
      <w:pPr>
        <w:pStyle w:val="FirstParagraph"/>
      </w:pPr>
      <w:r>
        <w:t xml:space="preserve">Review the distinction among revision, world update, calibration update,</w:t>
      </w:r>
      <w:r>
        <w:t xml:space="preserve"> </w:t>
      </w:r>
      <w:r>
        <w:t xml:space="preserve">commitment, obligation, and policy. Challenge the SOC action universe,</w:t>
      </w:r>
      <w:r>
        <w:t xml:space="preserve"> </w:t>
      </w:r>
      <w:r>
        <w:t xml:space="preserve">hard-safety rule, value-of-information policy, stopping rules, branch closure,</w:t>
      </w:r>
      <w:r>
        <w:t xml:space="preserve"> </w:t>
      </w:r>
      <w:r>
        <w:t xml:space="preserve">and model-relation types.</w:t>
      </w:r>
    </w:p>
    <w:bookmarkEnd w:id="38"/>
    <w:bookmarkStart w:id="39" w:name="experimental-methodology"/>
    <w:p>
      <w:pPr>
        <w:pStyle w:val="Heading3"/>
        <w:keepNext/>
      </w:pPr>
      <w:r>
        <w:t xml:space="preserve">Experimental methodology</w:t>
      </w:r>
    </w:p>
    <w:p>
      <w:pPr>
        <w:pStyle w:val="FirstParagraph"/>
      </w:pPr>
      <w:r>
        <w:t xml:space="preserve">Review construct validity, fixed opportunity sets, scorer instructions,</w:t>
      </w:r>
      <w:r>
        <w:t xml:space="preserve"> </w:t>
      </w:r>
      <w:r>
        <w:t xml:space="preserve">evaluator blinding, treatment/control information parity, hierarchical</w:t>
      </w:r>
      <w:r>
        <w:t xml:space="preserve"> </w:t>
      </w:r>
      <w:r>
        <w:t xml:space="preserve">analysis, equivalence margins, catastrophic-tail rules, and the separation</w:t>
      </w:r>
      <w:r>
        <w:t xml:space="preserve"> </w:t>
      </w:r>
      <w:r>
        <w:t xml:space="preserve">between behavioural endpoints and mechanism evidence.</w:t>
      </w:r>
    </w:p>
    <w:bookmarkEnd w:id="39"/>
    <w:bookmarkStart w:id="40" w:name="quantum-information-and-photonics"/>
    <w:p>
      <w:pPr>
        <w:pStyle w:val="Heading3"/>
        <w:keepNext/>
      </w:pPr>
      <w:r>
        <w:t xml:space="preserve">Quantum information and photonics</w:t>
      </w:r>
    </w:p>
    <w:p>
      <w:pPr>
        <w:pStyle w:val="FirstParagraph"/>
      </w:pPr>
      <w:r>
        <w:t xml:space="preserve">Review the claim boundary around coherence, no-cloning, instruments, readout,</w:t>
      </w:r>
      <w:r>
        <w:t xml:space="preserve"> </w:t>
      </w:r>
      <w:r>
        <w:t xml:space="preserve">calibration, noise, postselection, classical photonics, quantum photonics, and</w:t>
      </w:r>
      <w:r>
        <w:t xml:space="preserve"> </w:t>
      </w:r>
      <w:r>
        <w:t xml:space="preserve">the requirement for an end-to-end classical baseline.</w:t>
      </w:r>
    </w:p>
    <w:bookmarkEnd w:id="40"/>
    <w:bookmarkStart w:id="41" w:name="reproducibility"/>
    <w:p>
      <w:pPr>
        <w:pStyle w:val="Heading3"/>
        <w:keepNext/>
      </w:pPr>
      <w:r>
        <w:t xml:space="preserve">Reproducibility</w:t>
      </w:r>
    </w:p>
    <w:p>
      <w:pPr>
        <w:pStyle w:val="FirstParagraph"/>
      </w:pPr>
      <w:r>
        <w:t xml:space="preserve">Run the supplied commands on a clean copy. Verify the test receipts and hashes.</w:t>
      </w:r>
      <w:r>
        <w:t xml:space="preserve"> </w:t>
      </w:r>
      <w:r>
        <w:t xml:space="preserve">Report the exact platform and Python/PowerShell versions. Do not treat a changed</w:t>
      </w:r>
      <w:r>
        <w:t xml:space="preserve"> </w:t>
      </w:r>
      <w:r>
        <w:t xml:space="preserve">report file as a changed frozen input.</w:t>
      </w:r>
    </w:p>
    <w:bookmarkEnd w:id="41"/>
    <w:bookmarkStart w:id="42" w:name="external-endpoint-raters"/>
    <w:p>
      <w:pPr>
        <w:pStyle w:val="Heading3"/>
        <w:keepNext/>
      </w:pPr>
      <w:r>
        <w:t xml:space="preserve">External endpoint raters</w:t>
      </w:r>
    </w:p>
    <w:p>
      <w:pPr>
        <w:pStyle w:val="FirstParagraph"/>
      </w:pPr>
      <w:r>
        <w:t xml:space="preserve">The project seeks at least two independent raters for a pilot of SRR, OCA, PAR,</w:t>
      </w:r>
      <w:r>
        <w:t xml:space="preserve"> </w:t>
      </w:r>
      <w:r>
        <w:t xml:space="preserve">and RCS. The pilot is intended to measure evaluator agreement and ambiguity,</w:t>
      </w:r>
      <w:r>
        <w:t xml:space="preserve"> </w:t>
      </w:r>
      <w:r>
        <w:t xml:space="preserve">not to test the central treatment effect.</w:t>
      </w:r>
    </w:p>
    <w:bookmarkEnd w:id="42"/>
    <w:bookmarkEnd w:id="43"/>
    <w:bookmarkStart w:id="44" w:name="claim-boundary"/>
    <w:p>
      <w:pPr>
        <w:pStyle w:val="Heading2"/>
        <w:keepNext/>
      </w:pPr>
      <w:r>
        <w:t xml:space="preserve">10. Claim boundary</w:t>
      </w:r>
    </w:p>
    <w:p>
      <w:pPr>
        <w:pStyle w:val="FirstParagraph"/>
      </w:pPr>
      <w:r>
        <w:t xml:space="preserve">This release does not claim: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consciousness or subjective experience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sentience or life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personhood or legal standing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AGI or entity status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empirical identity or continuity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differential witness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production security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unbounded mathematical correctness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quantum or photonic necessity</w:t>
      </w:r>
    </w:p>
    <w:p>
      <w:pPr>
        <w:pStyle w:val="FirstParagraph"/>
      </w:pPr>
      <w:r>
        <w:t xml:space="preserve">The phrase</w:t>
      </w:r>
      <w:r>
        <w:t xml:space="preserve"> </w:t>
      </w:r>
      <w:r>
        <w:rPr>
          <w:rStyle w:val="VerbatimChar"/>
        </w:rPr>
        <w:t xml:space="preserve">C-candidate</w:t>
      </w:r>
      <w:r>
        <w:t xml:space="preserve"> </w:t>
      </w:r>
      <w:r>
        <w:t xml:space="preserve">denotes only a system that satisfies the declared</w:t>
      </w:r>
      <w:r>
        <w:t xml:space="preserve"> </w:t>
      </w:r>
      <w:r>
        <w:t xml:space="preserve">architectural surface before an independent matched-control study.</w:t>
      </w:r>
    </w:p>
    <w:bookmarkEnd w:id="44"/>
    <w:bookmarkStart w:id="45" w:name="how-to-contribute"/>
    <w:p>
      <w:pPr>
        <w:pStyle w:val="Heading2"/>
        <w:keepNext/>
      </w:pPr>
      <w:r>
        <w:t xml:space="preserve">11. How to contribute</w:t>
      </w:r>
    </w:p>
    <w:p>
      <w:pPr>
        <w:pStyle w:val="FirstParagraph"/>
      </w:pPr>
      <w:r>
        <w:t xml:space="preserve">Use the GitHub issue templates for formal review, conceptual review,</w:t>
      </w:r>
      <w:r>
        <w:t xml:space="preserve"> </w:t>
      </w:r>
      <w:r>
        <w:t xml:space="preserve">reproducibility, or endpoint-methodology feedback. A useful report includes:</w:t>
      </w:r>
    </w:p>
    <w:p>
      <w:pPr>
        <w:pStyle w:val="SourceCode"/>
        <w:keepLines/>
        <w:shd w:fill="F3F5F7"/>
      </w:pPr>
      <w:r>
        <w:rPr>
          <w:rStyle w:val="VerbatimChar"/>
          <w:rFonts w:ascii="Cascadia Mono" w:hAnsi="Cascadia Mono"/>
          <w:sz w:val="16"/>
        </w:rPr>
        <w:t xml:space="preserve">exact release and SHA-256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platform and dependency versions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file and line range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minimal scenario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observed and expected result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whether the issue is conceptual or reproduced</w:t>
      </w:r>
      <w:r>
        <w:rPr>
          <w:rFonts w:ascii="Cascadia Mono" w:hAnsi="Cascadia Mono"/>
          <w:sz w:val="16"/>
        </w:rPr>
        <w:br/>
      </w:r>
      <w:r>
        <w:rPr>
          <w:rStyle w:val="VerbatimChar"/>
          <w:rFonts w:ascii="Cascadia Mono" w:hAnsi="Cascadia Mono"/>
          <w:sz w:val="16"/>
        </w:rPr>
        <w:t xml:space="preserve">proposed acceptance criterion</w:t>
      </w:r>
    </w:p>
    <w:p>
      <w:pPr>
        <w:pStyle w:val="FirstParagraph"/>
      </w:pPr>
      <w:r>
        <w:t xml:space="preserve">The project welcomes negative results. A confirmed blocker creates a new</w:t>
      </w:r>
      <w:r>
        <w:t xml:space="preserve"> </w:t>
      </w:r>
      <w:r>
        <w:t xml:space="preserve">version; it is not silently edited away.</w:t>
      </w:r>
    </w:p>
    <w:bookmarkEnd w:id="45"/>
    <w:bookmarkStart w:id="47" w:name="citation-and-persistent-record"/>
    <w:p>
      <w:pPr>
        <w:pStyle w:val="Heading2"/>
        <w:keepNext/>
      </w:pPr>
      <w:r>
        <w:t xml:space="preserve">12. Citation and persistent record</w:t>
      </w:r>
    </w:p>
    <w:p>
      <w:pPr/>
      <w:r>
        <w:t>The version DOI reserved for this record is 10.5281/zenodo.21443105; it is registered when the Zenodo record is published. The previous DOI-bound theoretical-core release is 10.5281/zenodo.20679718.</w:t>
      </w:r>
    </w:p>
    <w:p>
      <w:pPr>
        <w:pStyle w:val="BodyText"/>
      </w:pPr>
      <w:r>
        <w:t>Use DOI 10.5281/zenodo.21443105 for version-specific citation. Zenodo record: https://zenodo.org/records/21443105.</w:t>
      </w:r>
    </w:p>
    <w:bookmarkEnd w:id="47"/>
    <w:bookmarkEnd w:id="48"/>
    <w:sectPr w:rsidR="00FC693F" w:rsidRPr="0006063C" w:rsidSect="00034616">
      <w:headerReference r:id="rId9" w:type="default"/>
      <w:footerReference r:id="rId10" w:type="default"/>
      <w:pgSz w:h="16838" w:w="11906"/>
      <w:pgMar w:bottom="1037" w:footer="432" w:gutter="0" w:header="432" w:left="1123" w:right="1037" w:top="103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974"/>
        <w:sz w:val="16"/>
      </w:rPr>
      <w:t xml:space="preserve">CC BY 4.0  |  DOI: 10.5281/zenodo.21443105  |  </w:t>
    </w: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7C9E2"/>
      </w:pBdr>
    </w:pPr>
    <w:r>
      <w:rPr>
        <w:rFonts w:ascii="Aptos" w:hAnsi="Aptos"/>
        <w:color w:val="5F6974"/>
        <w:sz w:val="16"/>
      </w:rPr>
      <w:t>ESTHER-RP-001 v0.8.1  |  Ivan Kotov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10" w:line="254" w:lineRule="auto"/>
    </w:pPr>
    <w:rPr>
      <w:rFonts w:ascii="Aptos" w:eastAsia="Liberation Serif" w:hAnsi="Aptos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60"/>
      <w:outlineLvl w:val="0"/>
    </w:pPr>
    <w:rPr>
      <w:rFonts w:ascii="Aptos Display" w:asciiTheme="majorHAnsi" w:cstheme="majorBidi" w:eastAsia="Liberation Sans" w:eastAsiaTheme="majorEastAsia" w:hAnsi="Aptos Display" w:hAnsiTheme="majorHAnsi"/>
      <w:b/>
      <w:bCs/>
      <w:color w:val="1F3A5F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60"/>
      <w:outlineLvl w:val="1"/>
    </w:pPr>
    <w:rPr>
      <w:rFonts w:ascii="Aptos Display" w:asciiTheme="majorHAnsi" w:cstheme="majorBidi" w:eastAsia="Liberation Sans" w:eastAsiaTheme="majorEastAsia" w:hAnsi="Aptos Display" w:hAnsiTheme="majorHAnsi"/>
      <w:b/>
      <w:bCs/>
      <w:color w:val="1F3A5F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/>
      <w:outlineLvl w:val="2"/>
    </w:pPr>
    <w:rPr>
      <w:rFonts w:ascii="Aptos Display" w:asciiTheme="majorHAnsi" w:cstheme="majorBidi" w:eastAsia="Liberation Sans" w:eastAsiaTheme="majorEastAsia" w:hAnsi="Aptos Display" w:hAnsiTheme="majorHAnsi"/>
      <w:b/>
      <w:bCs/>
      <w:color w:val="335C81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/>
      <w:outlineLvl w:val="3"/>
    </w:pPr>
    <w:rPr>
      <w:rFonts w:ascii="Liberation Sans" w:asciiTheme="majorHAnsi" w:cstheme="majorBidi" w:eastAsia="Liberation Sans" w:eastAsiaTheme="majorEastAsia" w:hAnsi="Liberation Sans" w:hAnsiTheme="majorHAnsi"/>
      <w:b/>
      <w:bCs/>
      <w:i/>
      <w:iCs/>
      <w:color w:val="666666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40" w:before="120"/>
      <w:outlineLvl w:val="4"/>
    </w:pPr>
    <w:rPr>
      <w:rFonts w:ascii="Liberation Sans" w:asciiTheme="majorHAnsi" w:cstheme="majorBidi" w:eastAsia="Liberation Sans" w:eastAsiaTheme="majorEastAsia" w:hAnsi="Liberation Sans" w:hAnsiTheme="majorHAnsi"/>
      <w:b/>
      <w:color w:val="666666"/>
      <w:sz w:val="2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40" w:before="120"/>
      <w:outlineLvl w:val="5"/>
    </w:pPr>
    <w:rPr>
      <w:rFonts w:ascii="Liberation Sans" w:asciiTheme="majorHAnsi" w:cstheme="majorBidi" w:eastAsia="Liberation Sans" w:eastAsiaTheme="majorEastAsia" w:hAnsi="Liberation Sans" w:hAnsiTheme="majorHAnsi"/>
      <w:b/>
      <w:i/>
      <w:iCs/>
      <w:color w:val="666666"/>
      <w:sz w:val="2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0" w:line="240" w:lineRule="auto"/>
      <w:contextualSpacing/>
    </w:pPr>
    <w:rPr>
      <w:rFonts w:ascii="Aptos Display" w:asciiTheme="majorHAnsi" w:cstheme="majorBidi" w:eastAsia="Liberation Sans" w:eastAsiaTheme="majorEastAsia" w:hAnsi="Aptos Display" w:hAnsiTheme="majorHAnsi"/>
      <w:b/>
      <w:color w:val="17365D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 w:before="0"/>
    </w:pPr>
    <w:rPr>
      <w:rFonts w:ascii="Aptos Display" w:asciiTheme="majorHAnsi" w:cstheme="majorBidi" w:eastAsia="Liberation Sans" w:eastAsiaTheme="majorEastAsia" w:hAnsi="Aptos Display" w:hAnsiTheme="majorHAnsi"/>
      <w:b/>
      <w:i/>
      <w:iCs/>
      <w:color w:val="274E75"/>
      <w:spacing w:val="15"/>
      <w:sz w:val="4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10" w:line="254" w:lineRule="auto"/>
    </w:pPr>
    <w:rPr>
      <w:rFonts w:ascii="Aptos" w:eastAsia="Liberation Serif" w:hAnsi="Aptos"/>
      <w:sz w:val="20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10" w:line="254" w:lineRule="auto"/>
    </w:pPr>
    <w:rPr>
      <w:rFonts w:ascii="Aptos" w:hAnsi="Aptos"/>
      <w:sz w:val="20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10" w:line="254" w:lineRule="auto"/>
    </w:pPr>
    <w:rPr>
      <w:rFonts w:ascii="Aptos" w:hAnsi="Aptos"/>
      <w:sz w:val="20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00"/>
      <w:ind w:left="425" w:right="198"/>
    </w:pPr>
    <w:rPr>
      <w:rFonts w:ascii="Aptos" w:eastAsia="Liberation Serif" w:hAnsi="Aptos"/>
      <w:i/>
      <w:iCs/>
      <w:color w:val="3F3F3F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eastAsia="Liberation Sans" w:hAnsi="Liberation Sans"/>
      <w:b/>
      <w:bCs/>
      <w:i/>
      <w:color w:themeColor="accent1" w:val="4F81BD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Liberation Serif" w:eastAsia="Liberation Serif" w:hAnsi="Liberation Serif"/>
      <w:sz w:val="17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ReleaseStatus" w:type="paragraph">
    <w:name w:val="Release Status"/>
    <w:pPr>
      <w:spacing w:after="120"/>
    </w:pPr>
    <w:rPr>
      <w:rFonts w:ascii="Aptos" w:eastAsia="Liberation Sans" w:hAnsi="Aptos"/>
      <w:b w:val="0"/>
      <w:color w:val="334455"/>
      <w:sz w:val="18"/>
    </w:rPr>
  </w:style>
  <w:style w:customStyle="1" w:styleId="Tagline" w:type="paragraph">
    <w:name w:val="Tagline"/>
    <w:pPr>
      <w:spacing w:after="320"/>
    </w:pPr>
    <w:rPr>
      <w:rFonts w:ascii="Aptos" w:eastAsia="Liberation Sans" w:hAnsi="Aptos"/>
      <w:b w:val="0"/>
      <w:i/>
      <w:color w:val="4D5D6C"/>
      <w:sz w:val="26"/>
    </w:rPr>
  </w:style>
  <w:style w:customStyle="1" w:styleId="SourceCode" w:type="paragraph">
    <w:name w:val="Source Code"/>
    <w:basedOn w:val="Normal"/>
    <w:link w:val="VerbatimChar"/>
    <w:pPr>
      <w:wordWrap w:val="off"/>
      <w:spacing w:before="60" w:after="120"/>
    </w:pPr>
    <w:rPr>
      <w:rFonts w:ascii="Cascadia Mono" w:hAnsi="Cascadia Mono"/>
      <w:sz w:val="16"/>
    </w:r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46" Type="http://schemas.openxmlformats.org/officeDocument/2006/relationships/hyperlink" Target="https://doi.org/10.5281/zenodo.20679718" TargetMode="External"/><Relationship Id="rId20" Type="http://schemas.openxmlformats.org/officeDocument/2006/relationships/hyperlink" Target="https://doi.org/10.5281/zenodo.21443105" TargetMode="External"/><Relationship Id="rId21" Type="http://schemas.openxmlformats.org/officeDocument/2006/relationships/hyperlink" Target="https://zenodo.org/records/21443105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doi.org/10.5281/zenodo.20679718" TargetMode="External"/><Relationship Id="rId20" Type="http://schemas.openxmlformats.org/officeDocument/2006/relationships/hyperlink" Target="https://doi.org/10.5281/zenodo.21443105" TargetMode="External"/><Relationship Id="rId21" Type="http://schemas.openxmlformats.org/officeDocument/2006/relationships/hyperlink" Target="https://zenodo.org/records/21443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ESTHER-RP-001: Centered Agency Under Persistent Uncertainty</dc:title>
  <dc:creator>Ivan Kotov</dc:creator>
  <cp:keywords>centered agency; causal memory; belief revision; reproducibility; Project Ester</cp:keywords>
  <dcterms:created xsi:type="dcterms:W3CDTF">2026-07-19T15:48:26Z</dcterms:created>
  <dcterms:modified xsi:type="dcterms:W3CDTF">2026-07-19T15:48:26Z</dcterms:modified>
  <dc:subject>English public working paper and bounded executable review package</dc:subject>
  <dc:description>Version DOI 10.5281/zenodo.21443105; public release v0.8.1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