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Zimbabwe AI-Enhanced Carbon Trading Ecosystem</w:t>
      </w:r>
    </w:p>
    <w:p>
      <w:r>
        <w:t>This document explains how ZAI-CTS works as a production-grade national platform for Zimbabwe's carbon market under SI 48 of 2025 and Paris Agreement Article 6.</w:t>
      </w:r>
    </w:p>
    <w:p>
      <w:r>
        <w:t>The platform is designed as critical digital infrastructure, combining carbon registry workflows, MRV, GIS intelligence, AI-assisted decision support, blockchain audit anchoring, marketplace operations, payments, community revenue transparency, and regulatory reporting.</w:t>
      </w:r>
    </w:p>
    <w:p>
      <w:pPr>
        <w:pStyle w:val="Heading1"/>
      </w:pPr>
      <w:r>
        <w:t>High-Level Operating Model</w:t>
      </w:r>
    </w:p>
    <w:p>
      <w:r>
        <w:t>Project developers register carbon projects and submit project design information, GIS boundaries, methodology details, and supporting evidence.</w:t>
      </w:r>
    </w:p>
    <w:p>
      <w:r>
        <w:t>The Carbon Registry Service stores the authoritative project record in PostgreSQL/PostGIS, applies domain validation, and writes immutable audit events for sensitive actions.</w:t>
      </w:r>
    </w:p>
    <w:p>
      <w:r>
        <w:t>MRV workflows collect measurement, reporting, and verification data from field inspections, satellite imagery, IoT sources, drone uploads, and documentary evidence.</w:t>
      </w:r>
    </w:p>
    <w:p>
      <w:r>
        <w:t>Verifiers and regulators review evidence through secured portals. AI assists with summaries, anomaly detection, additionality assessment, leakage risk, legal interpretation, and satellite intelligence, but final approval remains human-controlled.</w:t>
      </w:r>
    </w:p>
    <w:p>
      <w:r>
        <w:t>Approved credit issuance, transfer, retirement, and corresponding adjustment events are anchored to Hyperledger Fabric. The blockchain stores lifecycle proofs and hashes; PostgreSQL remains the system of record.</w:t>
      </w:r>
    </w:p>
    <w:p>
      <w:r>
        <w:t>Market participants use the marketplace for spot trading, OTC, auctions, portfolios, certificates, escrow, settlement, and retirement.</w:t>
      </w:r>
    </w:p>
    <w:p>
      <w:r>
        <w:t>Communities, RDCs, and government users access transparency dashboards for revenue sharing, trust funds, schools, clinics, water projects, and project benefits.</w:t>
      </w:r>
    </w:p>
    <w:p>
      <w:pPr>
        <w:pStyle w:val="Heading1"/>
      </w:pPr>
      <w:r>
        <w:t>Runtime Components</w:t>
      </w:r>
    </w:p>
    <w:p>
      <w:r>
        <w:t>Web Portal: Next.js, React, TypeScript, TailwindCSS, and Material UI portal for regulators, developers, verifiers, traders, and transparency users.</w:t>
      </w:r>
    </w:p>
    <w:p>
      <w:r>
        <w:t>API Gateway: Node.js edge service that applies request correlation, security headers, rate limiting, and routes API requests to backend services.</w:t>
      </w:r>
    </w:p>
    <w:p>
      <w:r>
        <w:t>Carbon Registry Service: FastAPI service using Clean Architecture, domain entities, command/query application services, repository interfaces, SQLAlchemy infrastructure adapters, OpenAPI, health, metrics, and tests.</w:t>
      </w:r>
    </w:p>
    <w:p>
      <w:r>
        <w:t>PostgreSQL/PostGIS: relational and geospatial system of record for organizations, carbon projects, credit batches, boundaries, and audit events.</w:t>
      </w:r>
    </w:p>
    <w:p>
      <w:r>
        <w:t>Redis: cache, rate-limit backing store, and short-lived workflow state store.</w:t>
      </w:r>
    </w:p>
    <w:p>
      <w:r>
        <w:t>RabbitMQ: event bus for domain events, async workflows, notifications, outbox dispatch, and integration tasks.</w:t>
      </w:r>
    </w:p>
    <w:p>
      <w:r>
        <w:t>Hyperledger Fabric: permissioned ledger for immutable carbon-credit lifecycle anchoring.</w:t>
      </w:r>
    </w:p>
    <w:p>
      <w:r>
        <w:t>AI Services: LangChain and model integrations with confidence score, explainability, prompt version, model version, human override, drift monitoring, bias monitoring, and audit trail.</w:t>
      </w:r>
    </w:p>
    <w:p>
      <w:r>
        <w:t>GIS Services: PostGIS, Mapbox/OpenLayers, GeoJSON APIs, satellite overlays, Zimbabwe district layers, forest cover, fire alerts, rainfall, communities, and IoT sensors.</w:t>
      </w:r>
    </w:p>
    <w:p>
      <w:pPr>
        <w:pStyle w:val="Heading1"/>
      </w:pPr>
      <w:r>
        <w:t>Security Model</w:t>
      </w:r>
    </w:p>
    <w:p>
      <w:r>
        <w:t>ZAI-CTS follows Zero Trust principles. All access must be authenticated, authorized, logged, and observable.</w:t>
      </w:r>
    </w:p>
    <w:p>
      <w:r>
        <w:t>Authentication is based on OAuth2/OpenID Connect and JWTs. MFA is mandatory for regulators, administrators, auditors, verifiers, and approvers.</w:t>
      </w:r>
    </w:p>
    <w:p>
      <w:r>
        <w:t>Authorization combines RBAC and ABAC. RBAC controls broad role capabilities; ABAC controls resource-specific decisions such as organization, project ownership, district, approval status, risk level, and assurance level.</w:t>
      </w:r>
    </w:p>
    <w:p>
      <w:r>
        <w:t>All sensitive operations create audit events with actor, role, organization, resource, action, outcome, correlation ID, and metadata.</w:t>
      </w:r>
    </w:p>
    <w:p>
      <w:r>
        <w:t>Production deployments must use TLS externally, mTLS internally, encrypted storage, secrets management, SIEM integration, WAF controls, and API rate limiting.</w:t>
      </w:r>
    </w:p>
    <w:p>
      <w:pPr>
        <w:pStyle w:val="Heading1"/>
      </w:pPr>
      <w:r>
        <w:t>API Flow</w:t>
      </w:r>
    </w:p>
    <w:p>
      <w:r>
        <w:t>Clients call the API Gateway over HTTPS.</w:t>
      </w:r>
    </w:p>
    <w:p>
      <w:r>
        <w:t>The gateway attaches or preserves X-Correlation-Id, applies security middleware and rate limits, then forwards requests to the appropriate backend service.</w:t>
      </w:r>
    </w:p>
    <w:p>
      <w:r>
        <w:t>Backend services validate DTOs, execute application-layer commands or queries, enforce domain invariants, persist via repository interfaces, write audit events, and return OpenAPI-documented responses.</w:t>
      </w:r>
    </w:p>
    <w:p>
      <w:r>
        <w:t>For carbon project registration, the RegisterCarbonProjectCommand rejects duplicate project codes, creates a draft CarbonProject aggregate, persists it, and writes a carbon.project.registered audit event.</w:t>
      </w:r>
    </w:p>
    <w:p>
      <w:pPr>
        <w:pStyle w:val="Heading1"/>
      </w:pPr>
      <w:r>
        <w:t>Docker Startup</w:t>
      </w:r>
    </w:p>
    <w:p>
      <w:r>
        <w:t>Run the enterprise stack with: docker compose -f infrastructure/docker/docker-compose.yml up --build -d</w:t>
      </w:r>
    </w:p>
    <w:p>
      <w:r>
        <w:t>Recommended local endpoints after startup: Web Portal http://localhost:3000, API Gateway http://localhost:8082/health, Carbon Registry http://localhost:8101/health, RabbitMQ Management http://localhost:15673.</w:t>
      </w:r>
    </w:p>
    <w:p>
      <w:r>
        <w:t>The local compose file uses non-conflicting host ports to avoid interfering with existing containers on the workstation.</w:t>
      </w:r>
    </w:p>
    <w:p>
      <w:pPr>
        <w:pStyle w:val="Heading1"/>
      </w:pPr>
      <w:r>
        <w:t>Quality Gates</w:t>
      </w:r>
    </w:p>
    <w:p>
      <w:r>
        <w:t>Backend validation performed in this repository includes Python compile checks, FastAPI unit tests, FastAPI integration tests, and Docker Compose configuration validation.</w:t>
      </w:r>
    </w:p>
    <w:p>
      <w:r>
        <w:t>Node.js dependency installation may require working npm registry access and trusted enterprise CA configuration. CI is configured to build the API Gateway and Web Portal where registry access is available.</w:t>
      </w:r>
    </w:p>
    <w:p>
      <w:r>
        <w:t>Production readiness requires tests passing, linting, security scanning, OpenAPI documentation, monitoring, Kubernetes deployment manifests, and completed operational runbooks.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</w:styles>
</file>