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October 20 live demo — simple team guide</w:t>
      </w:r>
    </w:p>
    <w:p>
      <w:pPr>
        <w:pStyle w:val="Subtitle"/>
        <w:spacing w:after="240"/>
      </w:pPr>
      <w:r>
        <w:t>15-minute classroom rehearsal | OmniMatch on one Windows laptop</w:t>
      </w:r>
    </w:p>
    <w:p>
      <w:r>
        <w:t>This guide is for a synthetic classroom simulation only. Never speak a real patient's details. A green check in the app means the demo is technically ready, not clinically validated. The presentation date is Tuesday, October 20, 2026.</w:t>
      </w:r>
    </w:p>
    <w:p>
      <w:pPr>
        <w:pStyle w:val="Heading1"/>
      </w:pPr>
      <w:r>
        <w:t>1. Before anyone enters the room</w:t>
      </w:r>
    </w:p>
    <w:p>
      <w:pPr>
        <w:pStyle w:val="ListBullet"/>
      </w:pPr>
      <w:r>
        <w:t>Plug in power, connect to a reliable network for first-time model download, and start Docker Desktop 30 minutes early. Once models are cached, the demo runs locally.</w:t>
      </w:r>
    </w:p>
    <w:p>
      <w:pPr>
        <w:pStyle w:val="ListBullet"/>
      </w:pPr>
      <w:r>
        <w:t>In PowerShell, go to Chatgpt\omnimatch-renewed and run: powershell.exe -NoProfile -ExecutionPolicy Bypass -File .\START_DEMO.ps1. If already built, add -SkipBuild.</w:t>
      </w:r>
    </w:p>
    <w:p>
      <w:pPr>
        <w:pStyle w:val="ListBullet"/>
      </w:pPr>
      <w:r>
        <w:t>Wait for the green ready message. Open http://localhost:3000. Sign in as clinical_staff with the local-only demo password Staff@12345.</w:t>
      </w:r>
    </w:p>
    <w:p>
      <w:pPr>
        <w:pStyle w:val="ListBullet"/>
      </w:pPr>
      <w:r>
        <w:t>Run .\RUN_SMOKE_TEST.ps1 and .\RUN_AUDIO_SMOKE_TEST.ps1 using the same PowerShell options shown above. Both should say PASS. Close other audio apps, allow Chrome/Edge microphone permission, and test your actual laptop microphone once.</w:t>
      </w:r>
    </w:p>
    <w:p>
      <w:pPr>
        <w:pStyle w:val="ListBullet"/>
      </w:pPr>
      <w:r>
        <w:t>Use the fictional case below only. Keep the browser on Home or New Session before the audience arrives; leave Docker Desktop running.</w:t>
      </w:r>
    </w:p>
    <w:p>
      <w:pPr>
        <w:pStyle w:val="Heading1"/>
      </w:pPr>
      <w:r>
        <w:t>2. The 15-minute run of show</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296"/>
            <w:shd w:fill="E8EEF5"/>
          </w:tcPr>
          <w:p>
            <w:r>
              <w:rPr>
                <w:b/>
              </w:rPr>
              <w:t>Time</w:t>
            </w:r>
          </w:p>
        </w:tc>
        <w:tc>
          <w:tcPr>
            <w:tcW w:type="dxa" w:w="1512"/>
            <w:shd w:fill="E8EEF5"/>
          </w:tcPr>
          <w:p>
            <w:r>
              <w:rPr>
                <w:b/>
              </w:rPr>
              <w:t>Speaker</w:t>
            </w:r>
          </w:p>
        </w:tc>
        <w:tc>
          <w:tcPr>
            <w:tcW w:type="dxa" w:w="6955"/>
            <w:shd w:fill="E8EEF5"/>
          </w:tcPr>
          <w:p>
            <w:r>
              <w:rPr>
                <w:b/>
              </w:rPr>
              <w:t>Say / show</w:t>
            </w:r>
          </w:p>
        </w:tc>
      </w:tr>
      <w:tr>
        <w:tc>
          <w:tcPr>
            <w:tcW w:type="dxa" w:w="1296"/>
          </w:tcPr>
          <w:p>
            <w:r>
              <w:t>0:00–2:30</w:t>
            </w:r>
          </w:p>
        </w:tc>
        <w:tc>
          <w:tcPr>
            <w:tcW w:type="dxa" w:w="1512"/>
          </w:tcPr>
          <w:p>
            <w:r>
              <w:t>Suhas</w:t>
            </w:r>
          </w:p>
        </w:tc>
        <w:tc>
          <w:tcPr>
            <w:tcW w:type="dxa" w:w="6955"/>
          </w:tcPr>
          <w:p>
            <w:r>
              <w:t>Problem, what the prototype is, and its synthetic-only safety boundary.</w:t>
            </w:r>
          </w:p>
        </w:tc>
      </w:tr>
      <w:tr>
        <w:tc>
          <w:tcPr>
            <w:tcW w:type="dxa" w:w="1296"/>
          </w:tcPr>
          <w:p>
            <w:r>
              <w:t>2:30–7:30</w:t>
            </w:r>
          </w:p>
        </w:tc>
        <w:tc>
          <w:tcPr>
            <w:tcW w:type="dxa" w:w="1512"/>
          </w:tcPr>
          <w:p>
            <w:r>
              <w:t>Venkata</w:t>
            </w:r>
          </w:p>
        </w:tc>
        <w:tc>
          <w:tcPr>
            <w:tcW w:type="dxa" w:w="6955"/>
          </w:tcPr>
          <w:p>
            <w:r>
              <w:t>Sign in; show consent off, grant consent, record the scripted visit, edit transcript if needed, review entity chips.</w:t>
            </w:r>
          </w:p>
        </w:tc>
      </w:tr>
      <w:tr>
        <w:tc>
          <w:tcPr>
            <w:tcW w:type="dxa" w:w="1296"/>
          </w:tcPr>
          <w:p>
            <w:r>
              <w:t>7:30–11:30</w:t>
            </w:r>
          </w:p>
        </w:tc>
        <w:tc>
          <w:tcPr>
            <w:tcW w:type="dxa" w:w="1512"/>
          </w:tcPr>
          <w:p>
            <w:r>
              <w:t>Rosie</w:t>
            </w:r>
          </w:p>
        </w:tc>
        <w:tc>
          <w:tcPr>
            <w:tcW w:type="dxa" w:w="6955"/>
          </w:tcPr>
          <w:p>
            <w:r>
              <w:t>Approve true patient entities, reject errors, submit, open inbox; explain backend background task, access control and trial freshness block.</w:t>
            </w:r>
          </w:p>
        </w:tc>
      </w:tr>
      <w:tr>
        <w:tc>
          <w:tcPr>
            <w:tcW w:type="dxa" w:w="1296"/>
          </w:tcPr>
          <w:p>
            <w:r>
              <w:t>11:30–15:00</w:t>
            </w:r>
          </w:p>
        </w:tc>
        <w:tc>
          <w:tcPr>
            <w:tcW w:type="dxa" w:w="1512"/>
          </w:tcPr>
          <w:p>
            <w:r>
              <w:t>Suhas</w:t>
            </w:r>
          </w:p>
        </w:tc>
        <w:tc>
          <w:tcPr>
            <w:tcW w:type="dxa" w:w="6955"/>
          </w:tcPr>
          <w:p>
            <w:r>
              <w:t>Explain criterion labels, unknown lab, heuristic score, what existing products do, honest limitations and next steps.</w:t>
            </w:r>
          </w:p>
        </w:tc>
      </w:tr>
    </w:tbl>
    <w:p>
      <w:pPr>
        <w:spacing w:after="0"/>
      </w:pPr>
    </w:p>
    <w:p>
      <w:pPr>
        <w:pStyle w:val="Heading1"/>
      </w:pPr>
      <w:r>
        <w:t>3. Exactly what to do in the app</w:t>
      </w:r>
    </w:p>
    <w:p>
      <w:r>
        <w:t>1. Open New Session. Point out that Start Recording is unavailable while consent is off. Ask the simulated patient for permission; then click Grant Consent. Only now start the microphone.</w:t>
      </w:r>
    </w:p>
    <w:p>
      <w:r>
        <w:t>2. Read the patient lines below slowly, with a short pause between sentences. Stop the recording and wait for transcription. If a term is wrong, correct the transcript on the review screen before pressing Proceed.</w:t>
      </w:r>
    </w:p>
    <w:p>
      <w:r>
        <w:t>3. On the verification screen, approve only current patient facts: type 2 diabetes, metformin, and high blood pressure if detected. Do not approve kidney disease (negated) or stroke (family history). Reject any mistaken chip. Submit verified entities.</w:t>
      </w:r>
    </w:p>
    <w:p>
      <w:r>
        <w:t>4. Open the new inbox item. Expect one relevant DEMO trial in the current local seed. Show that HbA1c can be UNKNOWN, and that the synthetic trial is BLOCKED from coordinator referral. Do not call it an eligible patient or click a sponsor action.</w:t>
      </w:r>
    </w:p>
    <w:p>
      <w:r>
        <w:t>5. If results take a few seconds, refresh the inbox. If they do not appear by 60 seconds, use the preflight smoke-test result and explain that this is a prototype limitation rather than inventing a result.</w:t>
      </w:r>
    </w:p>
    <w:p>
      <w:r>
        <w:br w:type="page"/>
      </w:r>
    </w:p>
    <w:p>
      <w:pPr>
        <w:pStyle w:val="Heading1"/>
      </w:pPr>
      <w:r>
        <w:t>4. Spoken simulation — one person can play both roles</w:t>
      </w:r>
    </w:p>
    <w:p>
      <w:r>
        <w:t>Before pressing Grant Consent (not recorded):</w:t>
      </w:r>
    </w:p>
    <w:p>
      <w:r>
        <w:t>DOCTOR: “For this fictional classroom demonstration, may I record this visit?”</w:t>
      </w:r>
    </w:p>
    <w:p>
      <w:r>
        <w:t>PATIENT: “Yes, I consent.”</w:t>
      </w:r>
    </w:p>
    <w:p>
      <w:r>
        <w:t>After consent is granted and Start Recording is clicked, speak these lines clearly:</w:t>
      </w:r>
    </w:p>
    <w:p>
      <w:r>
        <w:t>DOCTOR: “Tell me your medical conditions and medicines.”</w:t>
      </w:r>
    </w:p>
    <w:p>
      <w:r>
        <w:t>PATIENT: “I have type 2 diabetes. I take metformin. I also have high blood pressure. I do not have kidney disease. My mother had a stroke.”</w:t>
      </w:r>
    </w:p>
    <w:p>
      <w:r>
        <w:t>DOCTOR: “Thank you. We will review any possible research study after the visit.”</w:t>
      </w:r>
    </w:p>
    <w:p>
      <w:r>
        <w:t>Say the patient sentence at a natural pace. Whisper can mishear accents, noise, or numbers; use the edit step honestly. Do not read out an invented HbA1c number, because the point is to show a missing lab variable.</w:t>
      </w:r>
    </w:p>
    <w:p>
      <w:pPr>
        <w:pStyle w:val="Heading1"/>
      </w:pPr>
      <w:r>
        <w:t>5. Short speaking scripts</w:t>
      </w:r>
    </w:p>
    <w:p>
      <w:r>
        <w:t>SUHAS — opening: “OmniMatch is our master's project prototype. In a normal visit, trial screening is easy to forget. Our demo listens only after consent, turns the conversation into text, asks a human to approve the facts, and places possible research studies in an inbox for later review. It uses fake data today; it is not for patient care.”</w:t>
      </w:r>
    </w:p>
    <w:p>
      <w:r>
        <w:t>VENKATA — interface: “Notice that recording is disabled. After the patient agrees, I grant consent; now the microphone can start. If speech recognition is wrong, I correct the text before continuing. These chips are suggestions. I approve only facts about this patient; family history and negatives do not go into the search.”</w:t>
      </w:r>
    </w:p>
    <w:p>
      <w:r>
        <w:t>ROSIE — backend: “The approved terms go to the matching service, which processes the visit after it ends and writes results to an inbox. Access requires a signed-in staff role. We also check whether trial data is current before routing; our fictional demo trial is deliberately blocked from referral. That is a safety gate, not proof of eligibility.”</w:t>
      </w:r>
    </w:p>
    <w:p>
      <w:r>
        <w:t>SUHAS — close: “AWS HealthScribe and Abridge already do sophisticated ambient documentation. We are exploring a narrower consent-to-research-inbox workflow, not claiming to be first or clinically superior. Our 100-transcript negation test is well below 95% recall, and we still need better evaluation and production security. The next phase is to improve and independently test the model, then ask our professor for feedback before considering a startup.”</w:t>
      </w:r>
    </w:p>
    <w:p>
      <w:pPr>
        <w:pStyle w:val="Heading1"/>
      </w:pPr>
      <w:r>
        <w:t>6. If something fails during the demo</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1944"/>
            <w:shd w:fill="E8EEF5"/>
          </w:tcPr>
          <w:p>
            <w:r>
              <w:rPr>
                <w:b/>
              </w:rPr>
              <w:t>Problem</w:t>
            </w:r>
          </w:p>
        </w:tc>
        <w:tc>
          <w:tcPr>
            <w:tcW w:type="dxa" w:w="7819"/>
            <w:shd w:fill="E8EEF5"/>
          </w:tcPr>
          <w:p>
            <w:r>
              <w:rPr>
                <w:b/>
              </w:rPr>
              <w:t>Calm response</w:t>
            </w:r>
          </w:p>
        </w:tc>
      </w:tr>
      <w:tr>
        <w:tc>
          <w:tcPr>
            <w:tcW w:type="dxa" w:w="1944"/>
          </w:tcPr>
          <w:p>
            <w:r>
              <w:t>Microphone denied</w:t>
            </w:r>
          </w:p>
        </w:tc>
        <w:tc>
          <w:tcPr>
            <w:tcW w:type="dxa" w:w="7819"/>
          </w:tcPr>
          <w:p>
            <w:r>
              <w:t>Check browser permission and the consent switch. If blocked, show the in-memory speech PASS output and continue with the text workflow; say the browser microphone was not validated.</w:t>
            </w:r>
          </w:p>
        </w:tc>
      </w:tr>
      <w:tr>
        <w:tc>
          <w:tcPr>
            <w:tcW w:type="dxa" w:w="1944"/>
          </w:tcPr>
          <w:p>
            <w:r>
              <w:t>Transcript imperfect</w:t>
            </w:r>
          </w:p>
        </w:tc>
        <w:tc>
          <w:tcPr>
            <w:tcW w:type="dxa" w:w="7819"/>
          </w:tcPr>
          <w:p>
            <w:r>
              <w:t>Use the built-in edit screen, explain human review, and continue. Do not claim flawless transcription.</w:t>
            </w:r>
          </w:p>
        </w:tc>
      </w:tr>
      <w:tr>
        <w:tc>
          <w:tcPr>
            <w:tcW w:type="dxa" w:w="1944"/>
          </w:tcPr>
          <w:p>
            <w:r>
              <w:t>No inbox result yet</w:t>
            </w:r>
          </w:p>
        </w:tc>
        <w:tc>
          <w:tcPr>
            <w:tcW w:type="dxa" w:w="7819"/>
          </w:tcPr>
          <w:p>
            <w:r>
              <w:t>Refresh once after 10–20 seconds. If absent, show the prior smoke-test PASS and report the live failure honestly.</w:t>
            </w:r>
          </w:p>
        </w:tc>
      </w:tr>
      <w:tr>
        <w:tc>
          <w:tcPr>
            <w:tcW w:type="dxa" w:w="1944"/>
          </w:tcPr>
          <w:p>
            <w:r>
              <w:t>Docker not ready</w:t>
            </w:r>
          </w:p>
        </w:tc>
        <w:tc>
          <w:tcPr>
            <w:tcW w:type="dxa" w:w="7819"/>
          </w:tcPr>
          <w:p>
            <w:r>
              <w:t>Run START_DEMO.ps1 again after Docker Desktop is running; do not present stale screenshots as a live result.</w:t>
            </w:r>
          </w:p>
        </w:tc>
      </w:tr>
      <w:tr>
        <w:tc>
          <w:tcPr>
            <w:tcW w:type="dxa" w:w="1944"/>
          </w:tcPr>
          <w:p>
            <w:r>
              <w:t>Question about 95%</w:t>
            </w:r>
          </w:p>
        </w:tc>
        <w:tc>
          <w:tcPr>
            <w:tcW w:type="dxa" w:w="7819"/>
          </w:tcPr>
          <w:p>
            <w:r>
              <w:t>Say: “The current benchmark does not meet it. Test coverage is not model accuracy. Our Week 8 report states the measured precision, recall and F1.”</w:t>
            </w:r>
          </w:p>
        </w:tc>
      </w:tr>
    </w:tbl>
    <w:p>
      <w:pPr>
        <w:spacing w:after="0"/>
      </w:pPr>
    </w:p>
    <w:p>
      <w:pPr>
        <w:pStyle w:val="Heading1"/>
      </w:pPr>
      <w:r>
        <w:t>7. Team feedback after rehearsal</w:t>
      </w:r>
    </w:p>
    <w:p>
      <w:r>
        <w:t>Ask each teammate to try the consent switch, read the patient sentence, correct a transcript, approve one chip, reject one chip, and open the inbox. Record: what worked, any error message, how many seconds it took, and one confusing screen. Bring those comments to the professor. The next technical priorities are higher NLP recall on a held-out set, physical-microphone evaluation, dependency fixes, and production security controls.</w:t>
      </w:r>
    </w:p>
    <w:sectPr w:rsidR="00FC693F" w:rsidRPr="0006063C" w:rsidSect="00034616">
      <w:footerReference w:type="default" r:id="rId9"/>
      <w:pgSz w:w="12240" w:h="15840"/>
      <w:pgMar w:top="864" w:right="1123" w:bottom="864"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OmniMatch  |  Synthetic-data academic prototype  |  15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ptos" w:hAnsi="Aptos"/>
      <w:b/>
      <w:bCs/>
      <w:color w:val="183859"/>
      <w:sz w:val="26"/>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w:hAnsi="Aptos"/>
      <w:b/>
      <w:bCs/>
      <w:color w:val="183859"/>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0"/>
      <w:contextualSpacing/>
    </w:pPr>
    <w:rPr>
      <w:rFonts w:asciiTheme="majorHAnsi" w:eastAsiaTheme="majorEastAsia" w:hAnsiTheme="majorHAnsi" w:cstheme="majorBidi" w:ascii="Aptos Display" w:hAnsi="Aptos Display"/>
      <w:color w:val="183859"/>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