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8 implementation milestone — evidence pack</w:t>
      </w:r>
    </w:p>
    <w:p>
      <w:pPr>
        <w:pStyle w:val="Subtitle"/>
        <w:spacing w:after="240"/>
      </w:pPr>
      <w:r>
        <w:t>CPSC-69100 | HealthTech Innovation Labs | Instructor: Dr. Khaled Alzoubi</w:t>
      </w:r>
    </w:p>
    <w:p>
      <w:r>
        <w:t>Status as of Thursday, October 15, 2026. This is a team review draft based on code and repeatable local tests. Each team member must verify their own contribution before submission. The exact Week 8 Blackboard deadline was not stated in the syllabus excerpt available to us; confirm it in Blackboard.</w:t>
      </w:r>
    </w:p>
    <w:p>
      <w:pPr>
        <w:pStyle w:val="Heading1"/>
      </w:pPr>
      <w:r>
        <w:t>1. What works now</w:t>
      </w:r>
    </w:p>
    <w:p>
      <w:pPr>
        <w:pStyle w:val="ListBullet"/>
      </w:pPr>
      <w:r>
        <w:t>A local Docker stack starts the Next.js interface, FastAPI service, and Qdrant; all three services were healthy on the tested laptop.</w:t>
      </w:r>
    </w:p>
    <w:p>
      <w:pPr>
        <w:pStyle w:val="ListBullet"/>
      </w:pPr>
      <w:r>
        <w:t>Consent is recorded before microphone use. Speech audio is handled in memory; Whisper base transcribed a synthetic sentence. Users can edit the transcript before entity extraction.</w:t>
      </w:r>
    </w:p>
    <w:p>
      <w:pPr>
        <w:pStyle w:val="ListBullet"/>
      </w:pPr>
      <w:r>
        <w:t>A clinician explicitly approves or rejects extracted patient terms. Negated and family-history terms are excluded from the matching request.</w:t>
      </w:r>
    </w:p>
    <w:p>
      <w:pPr>
        <w:pStyle w:val="ListBullet"/>
      </w:pPr>
      <w:r>
        <w:t>Approved terms route to a background match and an inbox. The demo index contains three invented trials, never live trial IDs; a freshness gate blocks referral for these records.</w:t>
      </w:r>
    </w:p>
    <w:p>
      <w:pPr>
        <w:pStyle w:val="ListBullet"/>
      </w:pPr>
      <w:r>
        <w:t>The result view shows per-criterion labels, missing lab values, an enrollment-readiness ranking score, and evidence-linked transcript anchors. The score is not a clinical probability.</w:t>
      </w:r>
    </w:p>
    <w:p>
      <w:pPr>
        <w:pStyle w:val="Heading1"/>
      </w:pPr>
      <w:r>
        <w:t>2.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19"/>
            <w:shd w:fill="E8EEF5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672"/>
            <w:shd w:fill="E8EEF5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3672"/>
            <w:shd w:fill="E8EEF5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419"/>
          </w:tcPr>
          <w:p>
            <w:r>
              <w:t>Frontend automated tests</w:t>
            </w:r>
          </w:p>
        </w:tc>
        <w:tc>
          <w:tcPr>
            <w:tcW w:type="dxa" w:w="3672"/>
          </w:tcPr>
          <w:p>
            <w:r>
              <w:t>56 / 56 passed (9 suites)</w:t>
            </w:r>
          </w:p>
        </w:tc>
        <w:tc>
          <w:tcPr>
            <w:tcW w:type="dxa" w:w="3672"/>
          </w:tcPr>
          <w:p>
            <w:r>
              <w:t>UI unit tests pass; not a real-microphone test.</w:t>
            </w:r>
          </w:p>
        </w:tc>
      </w:tr>
      <w:tr>
        <w:tc>
          <w:tcPr>
            <w:tcW w:type="dxa" w:w="2419"/>
          </w:tcPr>
          <w:p>
            <w:r>
              <w:t>Backend automated tests</w:t>
            </w:r>
          </w:p>
        </w:tc>
        <w:tc>
          <w:tcPr>
            <w:tcW w:type="dxa" w:w="3672"/>
          </w:tcPr>
          <w:p>
            <w:r>
              <w:t>157 / 159 passed, 1 skipped, 1 failed</w:t>
            </w:r>
          </w:p>
        </w:tc>
        <w:tc>
          <w:tcPr>
            <w:tcW w:type="dxa" w:w="3672"/>
          </w:tcPr>
          <w:p>
            <w:r>
              <w:t>The remaining failure is the unmet 95% NLP target; full suite was rerun.</w:t>
            </w:r>
          </w:p>
        </w:tc>
      </w:tr>
      <w:tr>
        <w:tc>
          <w:tcPr>
            <w:tcW w:type="dxa" w:w="2419"/>
          </w:tcPr>
          <w:p>
            <w:r>
              <w:t>Backend code coverage</w:t>
            </w:r>
          </w:p>
        </w:tc>
        <w:tc>
          <w:tcPr>
            <w:tcW w:type="dxa" w:w="3672"/>
          </w:tcPr>
          <w:p>
            <w:r>
              <w:t>75% in the full run</w:t>
            </w:r>
          </w:p>
        </w:tc>
        <w:tc>
          <w:tcPr>
            <w:tcW w:type="dxa" w:w="3672"/>
          </w:tcPr>
          <w:p>
            <w:r>
              <w:t>Below any 95% coverage goal; not a safety measure.</w:t>
            </w:r>
          </w:p>
        </w:tc>
      </w:tr>
      <w:tr>
        <w:tc>
          <w:tcPr>
            <w:tcW w:type="dxa" w:w="2419"/>
          </w:tcPr>
          <w:p>
            <w:r>
              <w:t>Live text workflow</w:t>
            </w:r>
          </w:p>
        </w:tc>
        <w:tc>
          <w:tcPr>
            <w:tcW w:type="dxa" w:w="3672"/>
          </w:tcPr>
          <w:p>
            <w:r>
              <w:t>1 relevant fictional match in 14.6 s</w:t>
            </w:r>
          </w:p>
        </w:tc>
        <w:tc>
          <w:tcPr>
            <w:tcW w:type="dxa" w:w="3672"/>
          </w:tcPr>
          <w:p>
            <w:r>
              <w:t>Consent → extraction → approval → asynchronous inbox passed once locally.</w:t>
            </w:r>
          </w:p>
        </w:tc>
      </w:tr>
      <w:tr>
        <w:tc>
          <w:tcPr>
            <w:tcW w:type="dxa" w:w="2419"/>
          </w:tcPr>
          <w:p>
            <w:r>
              <w:t>Live synthetic speech</w:t>
            </w:r>
          </w:p>
        </w:tc>
        <w:tc>
          <w:tcPr>
            <w:tcW w:type="dxa" w:w="3672"/>
          </w:tcPr>
          <w:p>
            <w:r>
              <w:t>Correct sample transcription in 6.8 s</w:t>
            </w:r>
          </w:p>
        </w:tc>
        <w:tc>
          <w:tcPr>
            <w:tcW w:type="dxa" w:w="3672"/>
          </w:tcPr>
          <w:p>
            <w:r>
              <w:t>In-memory generated speech, not a physical microphone or broad WER evaluation.</w:t>
            </w:r>
          </w:p>
        </w:tc>
      </w:tr>
      <w:tr>
        <w:tc>
          <w:tcPr>
            <w:tcW w:type="dxa" w:w="2419"/>
          </w:tcPr>
          <w:p>
            <w:r>
              <w:t>100-transcript negation corpus</w:t>
            </w:r>
          </w:p>
        </w:tc>
        <w:tc>
          <w:tcPr>
            <w:tcW w:type="dxa" w:w="3672"/>
          </w:tcPr>
          <w:p>
            <w:r>
              <w:t>Precision 77.0%; recall 29.7%; F1 42.9%</w:t>
            </w:r>
          </w:p>
        </w:tc>
        <w:tc>
          <w:tcPr>
            <w:tcW w:type="dxa" w:w="3672"/>
          </w:tcPr>
          <w:p>
            <w:r>
              <w:t>The claimed ≥95% NLP target is NOT met.</w:t>
            </w:r>
          </w:p>
        </w:tc>
      </w:tr>
    </w:tbl>
    <w:p>
      <w:pPr>
        <w:spacing w:after="0"/>
      </w:pPr>
    </w:p>
    <w:p>
      <w:r>
        <w:t>These numbers describe different measures. Passing 98% of unit tests does not mean 98% medical accuracy. The benchmark remains red by design until the actual model improves; no result has been relabeled to satisfy the target.</w:t>
      </w:r>
    </w:p>
    <w:p>
      <w:pPr>
        <w:pStyle w:val="Heading1"/>
      </w:pPr>
      <w:r>
        <w:t>3. Comparison with existing approaches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57"/>
            <w:shd w:fill="E8EEF5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3672"/>
            <w:shd w:fill="E8EEF5"/>
          </w:tcPr>
          <w:p>
            <w:r>
              <w:rPr>
                <w:b/>
              </w:rPr>
              <w:t>What it already does</w:t>
            </w:r>
          </w:p>
        </w:tc>
        <w:tc>
          <w:tcPr>
            <w:tcW w:type="dxa" w:w="4334"/>
            <w:shd w:fill="E8EEF5"/>
          </w:tcPr>
          <w:p>
            <w:r>
              <w:rPr>
                <w:b/>
              </w:rPr>
              <w:t>OmniMatch classroom distinction</w:t>
            </w:r>
          </w:p>
        </w:tc>
      </w:tr>
      <w:tr>
        <w:tc>
          <w:tcPr>
            <w:tcW w:type="dxa" w:w="1757"/>
          </w:tcPr>
          <w:p>
            <w:r>
              <w:t>AWS HealthScribe</w:t>
            </w:r>
          </w:p>
        </w:tc>
        <w:tc>
          <w:tcPr>
            <w:tcW w:type="dxa" w:w="3672"/>
          </w:tcPr>
          <w:p>
            <w:r>
              <w:t>Clinical transcription, confidence scores, preliminary notes, evidence mapping and human review.</w:t>
            </w:r>
          </w:p>
        </w:tc>
        <w:tc>
          <w:tcPr>
            <w:tcW w:type="dxa" w:w="4334"/>
          </w:tcPr>
          <w:p>
            <w:r>
              <w:t>A narrow research-routing workflow after consent and per-entity approval; it does not replace a clinical note.</w:t>
            </w:r>
          </w:p>
        </w:tc>
      </w:tr>
      <w:tr>
        <w:tc>
          <w:tcPr>
            <w:tcW w:type="dxa" w:w="1757"/>
          </w:tcPr>
          <w:p>
            <w:r>
              <w:t>Abridge</w:t>
            </w:r>
          </w:p>
        </w:tc>
        <w:tc>
          <w:tcPr>
            <w:tcW w:type="dxa" w:w="3672"/>
          </w:tcPr>
          <w:p>
            <w:r>
              <w:t>Enterprise ambient documentation and clinician-reviewed, evidence-linked notes.</w:t>
            </w:r>
          </w:p>
        </w:tc>
        <w:tc>
          <w:tcPr>
            <w:tcW w:type="dxa" w:w="4334"/>
          </w:tcPr>
          <w:p>
            <w:r>
              <w:t>Small local simulator with a trial inbox and blocked fictional referrals, not EHR integration.</w:t>
            </w:r>
          </w:p>
        </w:tc>
      </w:tr>
      <w:tr>
        <w:tc>
          <w:tcPr>
            <w:tcW w:type="dxa" w:w="1757"/>
          </w:tcPr>
          <w:p>
            <w:r>
              <w:t>ClinicalTrials.gov API v2</w:t>
            </w:r>
          </w:p>
        </w:tc>
        <w:tc>
          <w:tcPr>
            <w:tcW w:type="dxa" w:w="3672"/>
          </w:tcPr>
          <w:p>
            <w:r>
              <w:t>Official structured study records for external retrieval.</w:t>
            </w:r>
          </w:p>
        </w:tc>
        <w:tc>
          <w:tcPr>
            <w:tcW w:type="dxa" w:w="4334"/>
          </w:tcPr>
          <w:p>
            <w:r>
              <w:t>When live mode is enabled, the app indexes records and checks status freshness before any routing. Demo mode uses fiction only.</w:t>
            </w:r>
          </w:p>
        </w:tc>
      </w:tr>
    </w:tbl>
    <w:p>
      <w:pPr>
        <w:spacing w:after="0"/>
      </w:pPr>
    </w:p>
    <w:p>
      <w:r>
        <w:t>The distinction is a workflow choice, not a claim that no other product has these features. A practice worth adopting is continuous, stratified evaluation with clinician review, as described by Abridge; our tiny synthetic corpus is not enough for clinical claims.</w:t>
      </w:r>
    </w:p>
    <w:p>
      <w:pPr>
        <w:pStyle w:val="Heading1"/>
      </w:pPr>
      <w:r>
        <w:t>4. Remaining work and risks</w:t>
      </w:r>
    </w:p>
    <w:p>
      <w:pPr>
        <w:pStyle w:val="ListBullet"/>
      </w:pPr>
      <w:r>
        <w:t>Raise negation recall and precision using a separate, independently labeled test set; correct the rules or consider a suitable open model, then rerun the same benchmark without changing the expected labels.</w:t>
      </w:r>
    </w:p>
    <w:p>
      <w:pPr>
        <w:pStyle w:val="ListBullet"/>
      </w:pPr>
      <w:r>
        <w:t>Test physical laptop microphone permission and speech quality in Chrome or Edge. The automated browser could not use a real microphone; generated speech validated only the backend audio path.</w:t>
      </w:r>
    </w:p>
    <w:p>
      <w:pPr>
        <w:pStyle w:val="ListBullet"/>
      </w:pPr>
      <w:r>
        <w:t>Fix dependency audit findings (45 reported by npm at install time), add production TLS, encryption at rest, secrets management and formal security review before any real-world use. No HIPAA or clinical compliance claim is supported.</w:t>
      </w:r>
    </w:p>
    <w:p>
      <w:pPr>
        <w:pStyle w:val="ListBullet"/>
      </w:pPr>
      <w:r>
        <w:t>Exercise more live study-status and referral cases, measure repeated runs under load, and test with diverse speakers and noise. Do not use PHI or contact trial sponsors from the classroom demo.</w:t>
      </w:r>
    </w:p>
    <w:p>
      <w:pPr>
        <w:pStyle w:val="Heading1"/>
      </w:pPr>
      <w:r>
        <w:t>5. Week 8 team check-in and next steps</w:t>
      </w:r>
    </w:p>
    <w:p>
      <w:r>
        <w:t>The syllabus identifies Week 8 as Implementation Milestone-1 (group check-in, 100 points). It lists the October 20 live demo in Week 9. Confirm the actual Week 8 submission deadline and required form in Blackboard. Use this evidence pack as source material; adapt the final report in your own words and confirm each person's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211"/>
            <w:shd w:fill="E8EEF5"/>
          </w:tcPr>
          <w:p>
            <w:r>
              <w:rPr>
                <w:b/>
              </w:rPr>
              <w:t>Role in project plan</w:t>
            </w:r>
          </w:p>
        </w:tc>
        <w:tc>
          <w:tcPr>
            <w:tcW w:type="dxa" w:w="6552"/>
            <w:shd w:fill="E8EEF5"/>
          </w:tcPr>
          <w:p>
            <w:r>
              <w:rPr>
                <w:b/>
              </w:rPr>
              <w:t>Before October 20</w:t>
            </w:r>
          </w:p>
        </w:tc>
      </w:tr>
      <w:tr>
        <w:tc>
          <w:tcPr>
            <w:tcW w:type="dxa" w:w="3211"/>
          </w:tcPr>
          <w:p>
            <w:r>
              <w:t>Suhas — AI/AWS/matching</w:t>
            </w:r>
          </w:p>
        </w:tc>
        <w:tc>
          <w:tcPr>
            <w:tcW w:type="dxa" w:w="6552"/>
          </w:tcPr>
          <w:p>
            <w:r>
              <w:t>Rehearse local startup, speech result, matching explanation and the honest NLP limitation.</w:t>
            </w:r>
          </w:p>
        </w:tc>
      </w:tr>
      <w:tr>
        <w:tc>
          <w:tcPr>
            <w:tcW w:type="dxa" w:w="3211"/>
          </w:tcPr>
          <w:p>
            <w:r>
              <w:t>Rosie — backend/security</w:t>
            </w:r>
          </w:p>
        </w:tc>
        <w:tc>
          <w:tcPr>
            <w:tcW w:type="dxa" w:w="6552"/>
          </w:tcPr>
          <w:p>
            <w:r>
              <w:t>Review endpoint/access claims, audit trail and outstanding security risks; verify her own implemented work.</w:t>
            </w:r>
          </w:p>
        </w:tc>
      </w:tr>
      <w:tr>
        <w:tc>
          <w:tcPr>
            <w:tcW w:type="dxa" w:w="3211"/>
          </w:tcPr>
          <w:p>
            <w:r>
              <w:t>Venkata — frontend</w:t>
            </w:r>
          </w:p>
        </w:tc>
        <w:tc>
          <w:tcPr>
            <w:tcW w:type="dxa" w:w="6552"/>
          </w:tcPr>
          <w:p>
            <w:r>
              <w:t>Rehearse consent, transcript correction, approval and inbox navigation; verify his own implemented work.</w:t>
            </w:r>
          </w:p>
        </w:tc>
      </w:tr>
    </w:tbl>
    <w:p>
      <w:pPr>
        <w:spacing w:after="0"/>
      </w:pPr>
    </w:p>
    <w:p>
      <w:pPr>
        <w:pStyle w:val="Heading1"/>
      </w:pPr>
      <w:r>
        <w:t>Sources reviewed (APA-style links)</w:t>
      </w:r>
    </w:p>
    <w:p>
      <w:r>
        <w:t>Amazon Web Services. (n.d.). AWS HealthScribe — AWS AI Service Cards. https://docs.aws.amazon.com/ai/responsible-ai/aws-healthscribe/overview.html</w:t>
      </w:r>
    </w:p>
    <w:p>
      <w:r>
        <w:t>Abridge. (n.d.). Pioneering the science of AI evaluation. https://www.abridge.com/ai/science-ai-evaluation</w:t>
      </w:r>
    </w:p>
    <w:p>
      <w:r>
        <w:t>National Library of Medicine. (n.d.). ClinicalTrials.gov Data API. https://clinicaltrials.gov/data-api/api</w:t>
      </w:r>
    </w:p>
    <w:p>
      <w:r>
        <w:t>OmniMatch local test run. (2026, October 15). Docker, pytest, Jest, and synthetic smoke-test logs (this repository; not externally published).</w:t>
      </w:r>
    </w:p>
    <w:sectPr w:rsidR="00FC693F" w:rsidRPr="0006063C" w:rsidSect="00034616">
      <w:footerReference w:type="default" r:id="rId9"/>
      <w:pgSz w:w="12240" w:h="15840"/>
      <w:pgMar w:top="864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OmniMatch  |  Synthetic-data academic prototype  |  15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8385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8385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18385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