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OmniMatch Plain English Guide and Next Steps</w:t>
      </w:r>
    </w:p>
    <w:p>
      <w:pPr>
        <w:spacing w:after="200"/>
      </w:pPr>
      <w:r>
        <w:rPr>
          <w:sz w:val="21"/>
        </w:rPr>
        <w:t>Project explanation, honest comparison, and practical plan  |  October 12, 2026</w:t>
      </w:r>
    </w:p>
    <w:p>
      <w:r>
        <w:t>For Suhas Reddy Kotla and HealthTech Innovation Labs  |  CPSC 69100 Master's Project</w:t>
      </w:r>
    </w:p>
    <w:p>
      <w:pPr>
        <w:pStyle w:val="Heading1"/>
      </w:pPr>
      <w:r>
        <w:t>The short answer</w:t>
      </w:r>
    </w:p>
    <w:p>
      <w:r>
        <w:t>OmniMatch is a promising Master's project, not yet a healthcare product. It explores a workflow in which a staff member gets permission to record a visit, reviews the clinical concepts suggested by software, and later checks possible clinical trial leads in an inbox. It uses fictional patient information. Its value is the way these steps are connected, but we have not shown that this workflow is faster or more accurate than existing products. That must be tested before a startup decision.</w:t>
      </w:r>
    </w:p>
    <w:p>
      <w:r>
        <w:t>The latest local check found that most software tests pass, but the clinical-language evaluation missed its target. The next priority is to improve and remeasure that part, then run the entire visit-to-inbox flow on the demonstration computer. The October 20 presentation should show the prototype honestly and ask the professor which validation matters most for the final project.</w:t>
      </w:r>
    </w:p>
    <w:p>
      <w:pPr>
        <w:pStyle w:val="Heading1"/>
      </w:pPr>
      <w:r>
        <w:t>What problem are we trying to solve</w:t>
      </w:r>
    </w:p>
    <w:p>
      <w:r>
        <w:t>Clinical trial information is public, but finding a trial that may fit one person still takes work. Relevant facts can appear during an ordinary visit, while the full protocol may require information that was not mentioned. OmniMatch tries to turn a visit into a short list of leads for later human review. It should never treat a conversation as a complete medical record or decide that someone qualifies for a trial.</w:t>
      </w:r>
    </w:p>
    <w:p>
      <w:pPr>
        <w:pStyle w:val="Heading1"/>
      </w:pPr>
      <w:r>
        <w:t>A fictional example from start to finish</w:t>
      </w:r>
    </w:p>
    <w:p>
      <w:r>
        <w:t>Imagine a staff member says this about a made-up patient: 'The patient has type 2 diabetes and takes metformin. They deny hypertension. There is a family history of stroke. We do not have a recent HbA1c.' This one example is useful because it contains a condition, a medicine, a denied condition, a family condition, and a missing lab result.</w:t>
      </w:r>
    </w:p>
    <w:p>
      <w:pPr>
        <w:ind w:left="389" w:hanging="317"/>
      </w:pPr>
      <w:r>
        <w:t xml:space="preserve">1. </w:t>
      </w:r>
      <w:r>
        <w:t>The staff member signs in and grants consent. Recording should not begin before that action is logged.</w:t>
      </w:r>
    </w:p>
    <w:p>
      <w:pPr>
        <w:ind w:left="389" w:hanging="317"/>
      </w:pPr>
      <w:r>
        <w:t xml:space="preserve">2. </w:t>
      </w:r>
      <w:r>
        <w:t>The application records a short clip and turns speech into text with Whisper. Audio is handled in an in-memory buffer in the reviewed backend code.</w:t>
      </w:r>
    </w:p>
    <w:p>
      <w:pPr>
        <w:ind w:left="389" w:hanging="317"/>
      </w:pPr>
      <w:r>
        <w:t xml:space="preserve">3. </w:t>
      </w:r>
      <w:r>
        <w:t>The language component proposes concepts. It should recognize diabetes and metformin; it should not treat 'denies hypertension' or family stroke as conditions that this patient has.</w:t>
      </w:r>
    </w:p>
    <w:p>
      <w:pPr>
        <w:ind w:left="389" w:hanging="317"/>
      </w:pPr>
      <w:r>
        <w:t xml:space="preserve">4. </w:t>
      </w:r>
      <w:r>
        <w:t>The staff member approves or rejects each suggestion. Only approved concepts about the patient are sent into matching. The backend applies the same filter again.</w:t>
      </w:r>
    </w:p>
    <w:p>
      <w:pPr>
        <w:ind w:left="389" w:hanging="317"/>
      </w:pPr>
      <w:r>
        <w:t xml:space="preserve">5. </w:t>
      </w:r>
      <w:r>
        <w:t>The system looks for possible trial records and shows simple criterion explanations. A required HbA1c value stays unknown until someone obtains it.</w:t>
      </w:r>
    </w:p>
    <w:p>
      <w:pPr>
        <w:ind w:left="389" w:hanging="317"/>
      </w:pPr>
      <w:r>
        <w:t xml:space="preserve">6. </w:t>
      </w:r>
      <w:r>
        <w:t>A lead appears in a separate inbox for later review. The clinician or trial coordinator checks the actual protocol, current site status, and all missing facts before taking action.</w:t>
      </w:r>
    </w:p>
    <w:p>
      <w:r>
        <w:t>That last point is crucial: a match is a research lead, not a medical recommendation, an eligibility ruling, or a promise that a trial is enrolling.</w:t>
      </w:r>
    </w:p>
    <w:p>
      <w:pPr>
        <w:pStyle w:val="Heading1"/>
      </w:pPr>
      <w:r>
        <w:t>What the technology pieces do</w:t>
      </w:r>
    </w:p>
    <w:tbl>
      <w:tblPr>
        <w:tblStyle w:val="TableGrid"/>
        <w:tblW w:type="auto" w:w="0"/>
        <w:tblLayout w:type="fixed"/>
        <w:tblLook w:firstColumn="1" w:firstRow="1" w:lastColumn="0" w:lastRow="0" w:noHBand="0" w:noVBand="1" w:val="04A0"/>
      </w:tblPr>
      <w:tblGrid>
        <w:gridCol w:w="1843"/>
        <w:gridCol w:w="4493"/>
        <w:gridCol w:w="3485"/>
      </w:tblGrid>
      <w:tr>
        <w:trPr>
          <w:tblHeader/>
        </w:trPr>
        <w:tc>
          <w:tcPr>
            <w:tcW w:type="dxa" w:w="1843"/>
            <w:shd w:fill="DCEA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b/>
                <w:sz w:val="18"/>
              </w:rPr>
              <w:t>Part</w:t>
            </w:r>
          </w:p>
        </w:tc>
        <w:tc>
          <w:tcPr>
            <w:tcW w:type="dxa" w:w="4493"/>
            <w:shd w:fill="DCEA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b/>
                <w:sz w:val="18"/>
              </w:rPr>
              <w:t>Simple explanation</w:t>
            </w:r>
          </w:p>
        </w:tc>
        <w:tc>
          <w:tcPr>
            <w:tcW w:type="dxa" w:w="3485"/>
            <w:shd w:fill="DCEA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b/>
                <w:sz w:val="18"/>
              </w:rPr>
              <w:t>Current caution</w:t>
            </w:r>
          </w:p>
        </w:tc>
      </w:tr>
      <w:tr>
        <w:trPr>
          <w:cantSplit/>
        </w:trPr>
        <w:tc>
          <w:tcPr>
            <w:tcW w:type="dxa" w:w="1843"/>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Next.js and React</w:t>
            </w:r>
          </w:p>
        </w:tc>
        <w:tc>
          <w:tcPr>
            <w:tcW w:type="dxa" w:w="4493"/>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The pages the staff member sees: sign-in, session, review, inbox, and timeline.</w:t>
            </w:r>
          </w:p>
        </w:tc>
        <w:tc>
          <w:tcPr>
            <w:tcW w:type="dxa" w:w="3485"/>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A passing build does not prove the pages work in every browser or meet accessibility rules.</w:t>
            </w:r>
          </w:p>
        </w:tc>
      </w:tr>
      <w:tr>
        <w:trPr>
          <w:cantSplit/>
        </w:trPr>
        <w:tc>
          <w:tcPr>
            <w:tcW w:type="dxa" w:w="1843"/>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FastAPI</w:t>
            </w:r>
          </w:p>
        </w:tc>
        <w:tc>
          <w:tcPr>
            <w:tcW w:type="dxa" w:w="4493"/>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The Python service that handles sign-in, consent logs, transcription requests, matching, and inbox data.</w:t>
            </w:r>
          </w:p>
        </w:tc>
        <w:tc>
          <w:tcPr>
            <w:tcW w:type="dxa" w:w="3485"/>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Many API tests use fixtures or mocks rather than all real services together.</w:t>
            </w:r>
          </w:p>
        </w:tc>
      </w:tr>
      <w:tr>
        <w:trPr>
          <w:cantSplit/>
        </w:trPr>
        <w:tc>
          <w:tcPr>
            <w:tcW w:type="dxa" w:w="1843"/>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Whisper</w:t>
            </w:r>
          </w:p>
        </w:tc>
        <w:tc>
          <w:tcPr>
            <w:tcW w:type="dxa" w:w="4493"/>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Turns recorded speech into a draft transcript.</w:t>
            </w:r>
          </w:p>
        </w:tc>
        <w:tc>
          <w:tcPr>
            <w:tcW w:type="dxa" w:w="3485"/>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Medical-word accuracy has not been measured in a live benchmark here.</w:t>
            </w:r>
          </w:p>
        </w:tc>
      </w:tr>
      <w:tr>
        <w:trPr>
          <w:cantSplit/>
        </w:trPr>
        <w:tc>
          <w:tcPr>
            <w:tcW w:type="dxa" w:w="1843"/>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NLP rules</w:t>
            </w:r>
          </w:p>
        </w:tc>
        <w:tc>
          <w:tcPr>
            <w:tcW w:type="dxa" w:w="4493"/>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Finds concepts and tries to separate positive, denied, and family-history mentions.</w:t>
            </w:r>
          </w:p>
        </w:tc>
        <w:tc>
          <w:tcPr>
            <w:tcW w:type="dxa" w:w="3485"/>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The latest evaluation shows a serious recall gap.</w:t>
            </w:r>
          </w:p>
        </w:tc>
      </w:tr>
      <w:tr>
        <w:trPr>
          <w:cantSplit/>
        </w:trPr>
        <w:tc>
          <w:tcPr>
            <w:tcW w:type="dxa" w:w="1843"/>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ClinicalTrials.gov API</w:t>
            </w:r>
          </w:p>
        </w:tc>
        <w:tc>
          <w:tcPr>
            <w:tcW w:type="dxa" w:w="4493"/>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Provides public study records, including titles, status, criteria, and locations [1].</w:t>
            </w:r>
          </w:p>
        </w:tc>
        <w:tc>
          <w:tcPr>
            <w:tcW w:type="dxa" w:w="3485"/>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A public record is not proof that a particular site has an open slot today.</w:t>
            </w:r>
          </w:p>
        </w:tc>
      </w:tr>
      <w:tr>
        <w:trPr>
          <w:cantSplit/>
        </w:trPr>
        <w:tc>
          <w:tcPr>
            <w:tcW w:type="dxa" w:w="1843"/>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Qdrant</w:t>
            </w:r>
          </w:p>
        </w:tc>
        <w:tc>
          <w:tcPr>
            <w:tcW w:type="dxa" w:w="4493"/>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Searches indexed trial text for candidate records similar to approved concepts.</w:t>
            </w:r>
          </w:p>
        </w:tc>
        <w:tc>
          <w:tcPr>
            <w:tcW w:type="dxa" w:w="3485"/>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The complete live sync and search path was not verified in the latest test run.</w:t>
            </w:r>
          </w:p>
        </w:tc>
      </w:tr>
      <w:tr>
        <w:trPr>
          <w:cantSplit/>
        </w:trPr>
        <w:tc>
          <w:tcPr>
            <w:tcW w:type="dxa" w:w="1843"/>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SQLite inbox</w:t>
            </w:r>
          </w:p>
        </w:tc>
        <w:tc>
          <w:tcPr>
            <w:tcW w:type="dxa" w:w="4493"/>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Stores follow-up results and audit-related records for the local prototype.</w:t>
            </w:r>
          </w:p>
        </w:tc>
        <w:tc>
          <w:tcPr>
            <w:tcW w:type="dxa" w:w="3485"/>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This does not establish encrypted production storage.</w:t>
            </w:r>
          </w:p>
        </w:tc>
      </w:tr>
    </w:tbl>
    <w:p>
      <w:pPr>
        <w:spacing w:after="0"/>
      </w:pPr>
    </w:p>
    <w:p>
      <w:pPr>
        <w:pStyle w:val="Heading1"/>
      </w:pPr>
      <w:r>
        <w:t>Features you can explain simply</w:t>
      </w:r>
    </w:p>
    <w:p>
      <w:r>
        <w:t>The working copy contains code for the following ideas. 'Present in code' does not mean clinically validated or proven in a complete deployment.</w:t>
      </w:r>
    </w:p>
    <w:tbl>
      <w:tblPr>
        <w:tblStyle w:val="TableGrid"/>
        <w:tblW w:type="auto" w:w="0"/>
        <w:tblLayout w:type="fixed"/>
        <w:tblLook w:firstColumn="1" w:firstRow="1" w:lastColumn="0" w:lastRow="0" w:noHBand="0" w:noVBand="1" w:val="04A0"/>
      </w:tblPr>
      <w:tblGrid>
        <w:gridCol w:w="2059"/>
        <w:gridCol w:w="4003"/>
        <w:gridCol w:w="3758"/>
      </w:tblGrid>
      <w:tr>
        <w:trPr>
          <w:tblHeader/>
        </w:trPr>
        <w:tc>
          <w:tcPr>
            <w:tcW w:type="dxa" w:w="2059"/>
            <w:shd w:fill="DCEA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b/>
                <w:sz w:val="18"/>
              </w:rPr>
              <w:t>Feature</w:t>
            </w:r>
          </w:p>
        </w:tc>
        <w:tc>
          <w:tcPr>
            <w:tcW w:type="dxa" w:w="4003"/>
            <w:shd w:fill="DCEA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b/>
                <w:sz w:val="18"/>
              </w:rPr>
              <w:t>Why it is useful</w:t>
            </w:r>
          </w:p>
        </w:tc>
        <w:tc>
          <w:tcPr>
            <w:tcW w:type="dxa" w:w="3758"/>
            <w:shd w:fill="DCEA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b/>
                <w:sz w:val="18"/>
              </w:rPr>
              <w:t>What not to overclaim</w:t>
            </w:r>
          </w:p>
        </w:tc>
      </w:tr>
      <w:tr>
        <w:trPr>
          <w:cantSplit/>
        </w:trPr>
        <w:tc>
          <w:tcPr>
            <w:tcW w:type="dxa" w:w="2059"/>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Per criterion view</w:t>
            </w:r>
          </w:p>
        </w:tc>
        <w:tc>
          <w:tcPr>
            <w:tcW w:type="dxa" w:w="4003"/>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Shows which trial requirements appear met, unmet, missing, or unknown.</w:t>
            </w:r>
          </w:p>
        </w:tc>
        <w:tc>
          <w:tcPr>
            <w:tcW w:type="dxa" w:w="3758"/>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The current rule-based parser is not a clinician's eligibility review.</w:t>
            </w:r>
          </w:p>
        </w:tc>
      </w:tr>
      <w:tr>
        <w:trPr>
          <w:cantSplit/>
        </w:trPr>
        <w:tc>
          <w:tcPr>
            <w:tcW w:type="dxa" w:w="2059"/>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Readiness number</w:t>
            </w:r>
          </w:p>
        </w:tc>
        <w:tc>
          <w:tcPr>
            <w:tcW w:type="dxa" w:w="4003"/>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Helps sort leads using similarity and simple rule results.</w:t>
            </w:r>
          </w:p>
        </w:tc>
        <w:tc>
          <w:tcPr>
            <w:tcW w:type="dxa" w:w="3758"/>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It is a heuristic score, not a probability of enrollment.</w:t>
            </w:r>
          </w:p>
        </w:tc>
      </w:tr>
      <w:tr>
        <w:trPr>
          <w:cantSplit/>
        </w:trPr>
        <w:tc>
          <w:tcPr>
            <w:tcW w:type="dxa" w:w="2059"/>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Visit timeline</w:t>
            </w:r>
          </w:p>
        </w:tc>
        <w:tc>
          <w:tcPr>
            <w:tcW w:type="dxa" w:w="4003"/>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Groups approved concepts across sessions under a pseudonym.</w:t>
            </w:r>
          </w:p>
        </w:tc>
        <w:tc>
          <w:tcPr>
            <w:tcW w:type="dxa" w:w="3758"/>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Longitudinal accuracy and identity handling still need testing.</w:t>
            </w:r>
          </w:p>
        </w:tc>
      </w:tr>
      <w:tr>
        <w:trPr>
          <w:cantSplit/>
        </w:trPr>
        <w:tc>
          <w:tcPr>
            <w:tcW w:type="dxa" w:w="2059"/>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Location ranking</w:t>
            </w:r>
          </w:p>
        </w:tc>
        <w:tc>
          <w:tcPr>
            <w:tcW w:type="dxa" w:w="4003"/>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Can move nearer trial sites higher when a clinic ZIP is provided.</w:t>
            </w:r>
          </w:p>
        </w:tc>
        <w:tc>
          <w:tcPr>
            <w:tcW w:type="dxa" w:w="3758"/>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Distance does not confirm site capacity or access.</w:t>
            </w:r>
          </w:p>
        </w:tc>
      </w:tr>
      <w:tr>
        <w:trPr>
          <w:cantSplit/>
        </w:trPr>
        <w:tc>
          <w:tcPr>
            <w:tcW w:type="dxa" w:w="2059"/>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Referral action and digest</w:t>
            </w:r>
          </w:p>
        </w:tc>
        <w:tc>
          <w:tcPr>
            <w:tcW w:type="dxa" w:w="4003"/>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Logs a follow-up action and can send a configured daily summary.</w:t>
            </w:r>
          </w:p>
        </w:tc>
        <w:tc>
          <w:tcPr>
            <w:tcW w:type="dxa" w:w="3758"/>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A logged referral is not confirmed contact or enrollment.</w:t>
            </w:r>
          </w:p>
        </w:tc>
      </w:tr>
      <w:tr>
        <w:trPr>
          <w:cantSplit/>
        </w:trPr>
        <w:tc>
          <w:tcPr>
            <w:tcW w:type="dxa" w:w="2059"/>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Confidence display</w:t>
            </w:r>
          </w:p>
        </w:tc>
        <w:tc>
          <w:tcPr>
            <w:tcW w:type="dxa" w:w="4003"/>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Highlights words the speech model is less sure about.</w:t>
            </w:r>
          </w:p>
        </w:tc>
        <w:tc>
          <w:tcPr>
            <w:tcW w:type="dxa" w:w="3758"/>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The current page redirects quickly to review; verify that correction is usable in the actual flow.</w:t>
            </w:r>
          </w:p>
        </w:tc>
      </w:tr>
      <w:tr>
        <w:trPr>
          <w:cantSplit/>
        </w:trPr>
        <w:tc>
          <w:tcPr>
            <w:tcW w:type="dxa" w:w="2059"/>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Evidence anchor</w:t>
            </w:r>
          </w:p>
        </w:tc>
        <w:tc>
          <w:tcPr>
            <w:tcW w:type="dxa" w:w="4003"/>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Stores approved term hashes and text positions instead of keeping a quoted passage in the ledger.</w:t>
            </w:r>
          </w:p>
        </w:tc>
        <w:tc>
          <w:tcPr>
            <w:tcW w:type="dxa" w:w="3758"/>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A hash does not prove that speech recognition or the clinical fact was correct.</w:t>
            </w:r>
          </w:p>
        </w:tc>
      </w:tr>
      <w:tr>
        <w:trPr>
          <w:cantSplit/>
        </w:trPr>
        <w:tc>
          <w:tcPr>
            <w:tcW w:type="dxa" w:w="2059"/>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Freshness check</w:t>
            </w:r>
          </w:p>
        </w:tc>
        <w:tc>
          <w:tcPr>
            <w:tcW w:type="dxa" w:w="4003"/>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Flags old, non-recruiting, or location-poor registry records before outreach.</w:t>
            </w:r>
          </w:p>
        </w:tc>
        <w:tc>
          <w:tcPr>
            <w:tcW w:type="dxa" w:w="3758"/>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A READY label is only a metadata check, not confirmed enrollment availability.</w:t>
            </w:r>
          </w:p>
        </w:tc>
      </w:tr>
    </w:tbl>
    <w:p>
      <w:pPr>
        <w:spacing w:after="0"/>
      </w:pPr>
    </w:p>
    <w:p>
      <w:pPr>
        <w:pStyle w:val="Heading1"/>
      </w:pPr>
      <w:r>
        <w:t>What is working and what is still uncertain</w:t>
      </w:r>
    </w:p>
    <w:tbl>
      <w:tblPr>
        <w:tblStyle w:val="TableGrid"/>
        <w:tblW w:type="auto" w:w="0"/>
        <w:tblLayout w:type="fixed"/>
        <w:tblLook w:firstColumn="1" w:firstRow="1" w:lastColumn="0" w:lastRow="0" w:noHBand="0" w:noVBand="1" w:val="04A0"/>
      </w:tblPr>
      <w:tblGrid>
        <w:gridCol w:w="1843"/>
        <w:gridCol w:w="4392"/>
        <w:gridCol w:w="3586"/>
      </w:tblGrid>
      <w:tr>
        <w:trPr>
          <w:tblHeader/>
        </w:trPr>
        <w:tc>
          <w:tcPr>
            <w:tcW w:type="dxa" w:w="1843"/>
            <w:shd w:fill="DCEA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b/>
                <w:sz w:val="18"/>
              </w:rPr>
              <w:t>Area</w:t>
            </w:r>
          </w:p>
        </w:tc>
        <w:tc>
          <w:tcPr>
            <w:tcW w:type="dxa" w:w="4392"/>
            <w:shd w:fill="DCEA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b/>
                <w:sz w:val="18"/>
              </w:rPr>
              <w:t>Latest evidence from October 11</w:t>
            </w:r>
          </w:p>
        </w:tc>
        <w:tc>
          <w:tcPr>
            <w:tcW w:type="dxa" w:w="3586"/>
            <w:shd w:fill="DCEA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b/>
                <w:sz w:val="18"/>
              </w:rPr>
              <w:t>Meaning</w:t>
            </w:r>
          </w:p>
        </w:tc>
      </w:tr>
      <w:tr>
        <w:trPr>
          <w:cantSplit/>
        </w:trPr>
        <w:tc>
          <w:tcPr>
            <w:tcW w:type="dxa" w:w="1843"/>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Backend</w:t>
            </w:r>
          </w:p>
        </w:tc>
        <w:tc>
          <w:tcPr>
            <w:tcW w:type="dxa" w:w="439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155 of 157 tests passed; 2 NLP tests failed.</w:t>
            </w:r>
          </w:p>
        </w:tc>
        <w:tc>
          <w:tcPr>
            <w:tcW w:type="dxa" w:w="358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Most local logic behaves as expected, but the important accuracy target is unmet.</w:t>
            </w:r>
          </w:p>
        </w:tc>
      </w:tr>
      <w:tr>
        <w:trPr>
          <w:cantSplit/>
        </w:trPr>
        <w:tc>
          <w:tcPr>
            <w:tcW w:type="dxa" w:w="1843"/>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Frontend</w:t>
            </w:r>
          </w:p>
        </w:tc>
        <w:tc>
          <w:tcPr>
            <w:tcW w:type="dxa" w:w="4392"/>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54 of 54 component tests passed; type check, lint, and fresh production build passed.</w:t>
            </w:r>
          </w:p>
        </w:tc>
        <w:tc>
          <w:tcPr>
            <w:tcW w:type="dxa" w:w="3586"/>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The code compiles and local components pass tests; this is not a full browser usability study.</w:t>
            </w:r>
          </w:p>
        </w:tc>
      </w:tr>
      <w:tr>
        <w:trPr>
          <w:cantSplit/>
        </w:trPr>
        <w:tc>
          <w:tcPr>
            <w:tcW w:type="dxa" w:w="1843"/>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Language accuracy</w:t>
            </w:r>
          </w:p>
        </w:tc>
        <w:tc>
          <w:tcPr>
            <w:tcW w:type="dxa" w:w="439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On 100 synthetic transcripts, precision 0.629, recall 0.278, F1 0.386. An ensemble scored lower than its baseline on another small set.</w:t>
            </w:r>
          </w:p>
        </w:tc>
        <w:tc>
          <w:tcPr>
            <w:tcW w:type="dxa" w:w="358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Do not repeat older claims of 95 percent accuracy. The evaluation mixes concept detection and negation, so these need separate tests.</w:t>
            </w:r>
          </w:p>
        </w:tc>
      </w:tr>
      <w:tr>
        <w:trPr>
          <w:cantSplit/>
        </w:trPr>
        <w:tc>
          <w:tcPr>
            <w:tcW w:type="dxa" w:w="1843"/>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Full demonstration</w:t>
            </w:r>
          </w:p>
        </w:tc>
        <w:tc>
          <w:tcPr>
            <w:tcW w:type="dxa" w:w="4392"/>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Live Whisper, ClinicalTrials.gov sync, Qdrant retrieval, and visit-to-inbox timing were not verified together.</w:t>
            </w:r>
          </w:p>
        </w:tc>
        <w:tc>
          <w:tcPr>
            <w:tcW w:type="dxa" w:w="3586"/>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A complete demonstration must be tested on the actual presentation computer.</w:t>
            </w:r>
          </w:p>
        </w:tc>
      </w:tr>
      <w:tr>
        <w:trPr>
          <w:cantSplit/>
        </w:trPr>
        <w:tc>
          <w:tcPr>
            <w:tcW w:type="dxa" w:w="1843"/>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Privacy and safety</w:t>
            </w:r>
          </w:p>
        </w:tc>
        <w:tc>
          <w:tcPr>
            <w:tcW w:type="dxa" w:w="439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Code-level consent, role checks, and in-memory audio handling have some local test coverage.</w:t>
            </w:r>
          </w:p>
        </w:tc>
        <w:tc>
          <w:tcPr>
            <w:tcW w:type="dxa" w:w="358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Do not claim HIPAA compliance, AES-256 deployment, full WCAG compliance, or clinical safety.</w:t>
            </w:r>
          </w:p>
        </w:tc>
      </w:tr>
    </w:tbl>
    <w:p>
      <w:pPr>
        <w:spacing w:after="0"/>
      </w:pPr>
    </w:p>
    <w:p>
      <w:r>
        <w:t>The source for the figures above is the team's October 11 prototype verification report [2]. Some earlier README and planning text makes stronger claims; use the measured result above when you speak or write about current performance.</w:t>
      </w:r>
    </w:p>
    <w:p>
      <w:pPr>
        <w:pStyle w:val="Heading1"/>
      </w:pPr>
      <w:r>
        <w:t>How OmniMatch compares with existing work</w:t>
      </w:r>
    </w:p>
    <w:p>
      <w:r>
        <w:t>This is a comparison of purpose and workflow, not proof that OmniMatch is better or that any feature is new to the entire world. Commercial systems change often, and published research already contains several of the same ideas.</w:t>
      </w:r>
    </w:p>
    <w:tbl>
      <w:tblPr>
        <w:tblStyle w:val="TableGrid"/>
        <w:tblW w:type="auto" w:w="0"/>
        <w:tblLayout w:type="fixed"/>
        <w:tblLook w:firstColumn="1" w:firstRow="1" w:lastColumn="0" w:lastRow="0" w:noHBand="0" w:noVBand="1" w:val="04A0"/>
      </w:tblPr>
      <w:tblGrid>
        <w:gridCol w:w="2131"/>
        <w:gridCol w:w="3686"/>
        <w:gridCol w:w="4003"/>
      </w:tblGrid>
      <w:tr>
        <w:trPr>
          <w:tblHeader/>
        </w:trPr>
        <w:tc>
          <w:tcPr>
            <w:tcW w:type="dxa" w:w="2131"/>
            <w:shd w:fill="DCEA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b/>
                <w:sz w:val="18"/>
              </w:rPr>
              <w:t>Existing work</w:t>
            </w:r>
          </w:p>
        </w:tc>
        <w:tc>
          <w:tcPr>
            <w:tcW w:type="dxa" w:w="3686"/>
            <w:shd w:fill="DCEA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b/>
                <w:sz w:val="18"/>
              </w:rPr>
              <w:t>What it already does</w:t>
            </w:r>
          </w:p>
        </w:tc>
        <w:tc>
          <w:tcPr>
            <w:tcW w:type="dxa" w:w="4003"/>
            <w:shd w:fill="DCEA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b/>
                <w:sz w:val="18"/>
              </w:rPr>
              <w:t>Where OmniMatch focuses</w:t>
            </w:r>
          </w:p>
        </w:tc>
      </w:tr>
      <w:tr>
        <w:trPr>
          <w:cantSplit/>
        </w:trPr>
        <w:tc>
          <w:tcPr>
            <w:tcW w:type="dxa" w:w="2131"/>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TrialGPT [3]</w:t>
            </w:r>
          </w:p>
        </w:tc>
        <w:tc>
          <w:tcPr>
            <w:tcW w:type="dxa" w:w="368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Uses patient notes to retrieve trials, assess criteria one by one, and rank candidates with explanations.</w:t>
            </w:r>
          </w:p>
        </w:tc>
        <w:tc>
          <w:tcPr>
            <w:tcW w:type="dxa" w:w="4003"/>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Starts from a consented visit workflow and asks staff to approve each proposed concept before query construction. OmniMatch has not matched TrialGPT's reported evaluation.</w:t>
            </w:r>
          </w:p>
        </w:tc>
      </w:tr>
      <w:tr>
        <w:trPr>
          <w:cantSplit/>
        </w:trPr>
        <w:tc>
          <w:tcPr>
            <w:tcW w:type="dxa" w:w="2131"/>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AWS screening architecture [4]</w:t>
            </w:r>
          </w:p>
        </w:tc>
        <w:tc>
          <w:tcPr>
            <w:tcW w:type="dxa" w:w="3686"/>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Describes patient evidence, criterion checks, site checks, clinician review, and audit trails in a broader EHR-centered architecture.</w:t>
            </w:r>
          </w:p>
        </w:tc>
        <w:tc>
          <w:tcPr>
            <w:tcW w:type="dxa" w:w="4003"/>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A narrower academic prototype centered on ambient capture and a later inbox. AWS already addresses many of the same safety ideas.</w:t>
            </w:r>
          </w:p>
        </w:tc>
      </w:tr>
      <w:tr>
        <w:trPr>
          <w:cantSplit/>
        </w:trPr>
        <w:tc>
          <w:tcPr>
            <w:tcW w:type="dxa" w:w="2131"/>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AWS HealthScribe [5]</w:t>
            </w:r>
          </w:p>
        </w:tc>
        <w:tc>
          <w:tcPr>
            <w:tcW w:type="dxa" w:w="368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Transcribes clinical conversations and supports evidence-linked draft documentation and word confidence.</w:t>
            </w:r>
          </w:p>
        </w:tc>
        <w:tc>
          <w:tcPr>
            <w:tcW w:type="dxa" w:w="4003"/>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Uses speech as an input for possible trial leads instead of primarily producing a medical note. Confidence and evidence linkage are not unique to OmniMatch.</w:t>
            </w:r>
          </w:p>
        </w:tc>
      </w:tr>
      <w:tr>
        <w:trPr>
          <w:cantSplit/>
        </w:trPr>
        <w:tc>
          <w:tcPr>
            <w:tcW w:type="dxa" w:w="2131"/>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Abridge [6]</w:t>
            </w:r>
          </w:p>
        </w:tc>
        <w:tc>
          <w:tcPr>
            <w:tcW w:type="dxa" w:w="3686"/>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Provides enterprise ambient clinical documentation, EHR workflows, and links AI output to source evidence.</w:t>
            </w:r>
          </w:p>
        </w:tc>
        <w:tc>
          <w:tcPr>
            <w:tcW w:type="dxa" w:w="4003"/>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Targets trial-routing research rather than a production documentation and billing workflow. OmniMatch lacks Abridge's deployed integration and validation.</w:t>
            </w:r>
          </w:p>
        </w:tc>
      </w:tr>
      <w:tr>
        <w:trPr>
          <w:cantSplit/>
        </w:trPr>
        <w:tc>
          <w:tcPr>
            <w:tcW w:type="dxa" w:w="2131"/>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Tempus TIME [7]</w:t>
            </w:r>
          </w:p>
        </w:tc>
        <w:tc>
          <w:tcPr>
            <w:tcW w:type="dxa" w:w="368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Supports trial enrollment operations, patient tracking, and communication with clinical sites.</w:t>
            </w:r>
          </w:p>
        </w:tc>
        <w:tc>
          <w:tcPr>
            <w:tcW w:type="dxa" w:w="4003"/>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Explores an earlier step: noticing a possible lead during a visit, then routing it for review. TIME is much more mature operationally.</w:t>
            </w:r>
          </w:p>
        </w:tc>
      </w:tr>
    </w:tbl>
    <w:p>
      <w:pPr>
        <w:spacing w:after="0"/>
      </w:pPr>
    </w:p>
    <w:p>
      <w:r>
        <w:t>ClinicalTrials.gov is the registry supplying study data, not a competing ambient-visit application [1]. It is also a reminder to check the current record rather than trust an old cached copy.</w:t>
      </w:r>
    </w:p>
    <w:p>
      <w:pPr>
        <w:pStyle w:val="Heading1"/>
      </w:pPr>
      <w:r>
        <w:t>So what is the real difference</w:t>
      </w:r>
    </w:p>
    <w:p>
      <w:r>
        <w:t>OmniMatch's clearest idea is the order of work: ask permission before capture; make the extracted facts visible; require a person to approve them; search only with the approved patient facts; deliver leads after the visit; then require another review of criteria and trial freshness. An evidence anchor can help explain why a lead appeared without keeping a full quote in that ledger. The question for research is whether this sequence reduces interruptions and unsafe false leads enough to justify the extra review step.</w:t>
      </w:r>
    </w:p>
    <w:p>
      <w:r>
        <w:t>None of those individual ideas should be presented as an invention that no other system has. A useful startup advantage would have to be demonstrated with users and measured outcomes, such as less coordinator review time, fewer incorrect leads, or more appropriate referrals. That evidence does not exist yet.</w:t>
      </w:r>
    </w:p>
    <w:p>
      <w:pPr>
        <w:pStyle w:val="Heading1"/>
      </w:pPr>
      <w:r>
        <w:t>What needs to happen next</w:t>
      </w:r>
    </w:p>
    <w:p>
      <w:pPr>
        <w:pStyle w:val="Heading2"/>
      </w:pPr>
      <w:r>
        <w:t>Before the October 20 presentation</w:t>
      </w:r>
    </w:p>
    <w:p>
      <w:pPr>
        <w:ind w:left="389" w:hanging="317"/>
      </w:pPr>
      <w:r>
        <w:t xml:space="preserve">1. </w:t>
      </w:r>
      <w:r>
        <w:t>Choose one fictional visit and rehearse it on the exact computer and network that will be used in class. Confirm sign-in, consent, microphone access, transcription, review, search, and inbox in order.</w:t>
      </w:r>
    </w:p>
    <w:p>
      <w:pPr>
        <w:ind w:left="389" w:hanging="317"/>
      </w:pPr>
      <w:r>
        <w:t xml:space="preserve">2. </w:t>
      </w:r>
      <w:r>
        <w:t>Record what actually worked and what did not. Time the session-completion-to-inbox step. If speech or Qdrant is unreliable, prepare a clearly labeled screen recording or show the interface without pretending it is a live completed match.</w:t>
      </w:r>
    </w:p>
    <w:p>
      <w:pPr>
        <w:ind w:left="389" w:hanging="317"/>
      </w:pPr>
      <w:r>
        <w:t xml:space="preserve">3. </w:t>
      </w:r>
      <w:r>
        <w:t>Update the team's verbal claims and presentation material to say 'prototype' and 'synthetic data.' Remove statements such as 'all tests pass,' '95 percent accurate,' 'HIPAA compliant,' or 'unique worldwide.'</w:t>
      </w:r>
    </w:p>
    <w:p>
      <w:pPr>
        <w:ind w:left="389" w:hanging="317"/>
      </w:pPr>
      <w:r>
        <w:t xml:space="preserve">4. </w:t>
      </w:r>
      <w:r>
        <w:t>Ask the professor which final-project outcome matters most: a clean research evaluation, a reliable local end-to-end demo, a stronger interface study, or a narrower problem scope.</w:t>
      </w:r>
    </w:p>
    <w:p>
      <w:pPr>
        <w:pStyle w:val="Heading2"/>
      </w:pPr>
      <w:r>
        <w:t>After the presentation and before final submission</w:t>
      </w:r>
    </w:p>
    <w:p>
      <w:pPr>
        <w:ind w:left="389" w:hanging="317"/>
      </w:pPr>
      <w:r>
        <w:t xml:space="preserve">1. </w:t>
      </w:r>
      <w:r>
        <w:t>Repair the clinical-language pipeline. Measure concept detection, negation, family history, and missing information separately, then retest on a held-out synthetic set. Keep the failed tests visible until the target is met or the advisor approves a revised target.</w:t>
      </w:r>
    </w:p>
    <w:p>
      <w:pPr>
        <w:ind w:left="389" w:hanging="317"/>
      </w:pPr>
      <w:r>
        <w:t xml:space="preserve">2. </w:t>
      </w:r>
      <w:r>
        <w:t>Validate the full local pipeline with real Whisper inference and a running Qdrant instance. Verify a fresh registry import, approved-only queries, failed-service behavior, and actual inbox arrival time. Save logs and screenshots as evidence.</w:t>
      </w:r>
    </w:p>
    <w:p>
      <w:pPr>
        <w:ind w:left="389" w:hanging="317"/>
      </w:pPr>
      <w:r>
        <w:t xml:space="preserve">3. </w:t>
      </w:r>
      <w:r>
        <w:t>Check the interface in a real browser with keyboard and screen-reader workflows. In particular, verify that the confidence correction screen can be used before the automatic move to entity review. WCAG 2.1 AA requires meeting all A and AA criteria, not simply adding labels [8].</w:t>
      </w:r>
    </w:p>
    <w:p>
      <w:pPr>
        <w:ind w:left="389" w:hanging="317"/>
      </w:pPr>
      <w:r>
        <w:t xml:space="preserve">4. </w:t>
      </w:r>
      <w:r>
        <w:t>Review security before any non-synthetic data is considered: storage encryption, transport security, access control, audit integrity, dependencies, and data retention. Obtain specialist privacy and regulatory advice for any later clinical use [9, 10].</w:t>
      </w:r>
    </w:p>
    <w:p>
      <w:pPr>
        <w:ind w:left="389" w:hanging="317"/>
      </w:pPr>
      <w:r>
        <w:t xml:space="preserve">5. </w:t>
      </w:r>
      <w:r>
        <w:t>Write the final report with the tested results, failed targets, limitations, comparison sources, and professor feedback. Do not copy unverified numbers from older project documents.</w:t>
      </w:r>
    </w:p>
    <w:p>
      <w:pPr>
        <w:pStyle w:val="Heading2"/>
      </w:pPr>
      <w:r>
        <w:t>If you want to explore a startup after the course</w:t>
      </w:r>
    </w:p>
    <w:p>
      <w:r>
        <w:t>Treat the startup as a hypothesis to test, not the next deployment step. First, choose one specialty and one buyer or user group, such as a clinic trial coordinator. Speak with clinicians and coordinators about the current search process, consent, false leads, and handoff burden. Then test the workflow with synthetic or properly governed data, measuring time per reviewed case, lead quality, and user trust against their current method. A regulatory and privacy assessment must precede any real patient workflow; the intended use can affect the FDA analysis [10].</w:t>
      </w:r>
    </w:p>
    <w:p>
      <w:r>
        <w:t>A sensible decision point is: continue only if users confirm the problem, the NLP and trial checks become reliable enough for the proposed use, and the team can support the required security and clinical oversight. The professor's October 20 feedback can help narrow that first test.</w:t>
      </w:r>
    </w:p>
    <w:p>
      <w:pPr>
        <w:pStyle w:val="Heading1"/>
      </w:pPr>
      <w:r>
        <w:t>The answer you can give in one minute</w:t>
      </w:r>
    </w:p>
    <w:p>
      <w:r>
        <w:t>'OmniMatch is our simulated clinical trial-routing prototype. With consent, it turns a short visit recording into suggested clinical facts. A staff member approves the facts before any matching. Possible trial leads then go to an inbox, where a person checks the real protocol and missing information. TrialGPT and AWS already do advanced matching, and HealthScribe and Abridge already work with clinical conversations, so we are not claiming to have invented those parts. Our research question is whether this consent-to-review-to-inbox workflow is useful. The local code mostly passes tests, but our latest language evaluation missed its target, and the complete live pipeline still needs validation. Our next work is to fix that gap, test the full flow, and get feedback from the professor and future users.'</w:t>
      </w:r>
    </w:p>
    <w:p>
      <w:pPr>
        <w:pStyle w:val="Heading1"/>
      </w:pPr>
      <w:r>
        <w:t>Short glossary</w:t>
      </w:r>
    </w:p>
    <w:tbl>
      <w:tblPr>
        <w:tblStyle w:val="TableGrid"/>
        <w:tblW w:type="auto" w:w="0"/>
        <w:tblLayout w:type="fixed"/>
        <w:tblLook w:firstColumn="1" w:firstRow="1" w:lastColumn="0" w:lastRow="0" w:noHBand="0" w:noVBand="1" w:val="04A0"/>
      </w:tblPr>
      <w:tblGrid>
        <w:gridCol w:w="2189"/>
        <w:gridCol w:w="7632"/>
      </w:tblGrid>
      <w:tr>
        <w:trPr>
          <w:tblHeader/>
        </w:trPr>
        <w:tc>
          <w:tcPr>
            <w:tcW w:type="dxa" w:w="2189"/>
            <w:shd w:fill="DCEA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b/>
                <w:sz w:val="18"/>
              </w:rPr>
              <w:t>Word</w:t>
            </w:r>
          </w:p>
        </w:tc>
        <w:tc>
          <w:tcPr>
            <w:tcW w:type="dxa" w:w="7632"/>
            <w:shd w:fill="DCEAF4"/>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b/>
                <w:sz w:val="18"/>
              </w:rPr>
              <w:t>Meaning</w:t>
            </w:r>
          </w:p>
        </w:tc>
      </w:tr>
      <w:tr>
        <w:trPr>
          <w:cantSplit/>
        </w:trPr>
        <w:tc>
          <w:tcPr>
            <w:tcW w:type="dxa" w:w="2189"/>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Ambient audio</w:t>
            </w:r>
          </w:p>
        </w:tc>
        <w:tc>
          <w:tcPr>
            <w:tcW w:type="dxa" w:w="763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A conversation recorded during a normal visit with permission.</w:t>
            </w:r>
          </w:p>
        </w:tc>
      </w:tr>
      <w:tr>
        <w:trPr>
          <w:cantSplit/>
        </w:trPr>
        <w:tc>
          <w:tcPr>
            <w:tcW w:type="dxa" w:w="2189"/>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Entity</w:t>
            </w:r>
          </w:p>
        </w:tc>
        <w:tc>
          <w:tcPr>
            <w:tcW w:type="dxa" w:w="7632"/>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A proposed concept such as a diagnosis, medicine, or laboratory value.</w:t>
            </w:r>
          </w:p>
        </w:tc>
      </w:tr>
      <w:tr>
        <w:trPr>
          <w:cantSplit/>
        </w:trPr>
        <w:tc>
          <w:tcPr>
            <w:tcW w:type="dxa" w:w="2189"/>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Negation</w:t>
            </w:r>
          </w:p>
        </w:tc>
        <w:tc>
          <w:tcPr>
            <w:tcW w:type="dxa" w:w="763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Words such as 'denies' or 'no history of' that change whether a condition applies.</w:t>
            </w:r>
          </w:p>
        </w:tc>
      </w:tr>
      <w:tr>
        <w:trPr>
          <w:cantSplit/>
        </w:trPr>
        <w:tc>
          <w:tcPr>
            <w:tcW w:type="dxa" w:w="2189"/>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Criterion</w:t>
            </w:r>
          </w:p>
        </w:tc>
        <w:tc>
          <w:tcPr>
            <w:tcW w:type="dxa" w:w="7632"/>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One requirement in a clinical trial's inclusion or exclusion rules.</w:t>
            </w:r>
          </w:p>
        </w:tc>
      </w:tr>
      <w:tr>
        <w:trPr>
          <w:cantSplit/>
        </w:trPr>
        <w:tc>
          <w:tcPr>
            <w:tcW w:type="dxa" w:w="2189"/>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Vector search</w:t>
            </w:r>
          </w:p>
        </w:tc>
        <w:tc>
          <w:tcPr>
            <w:tcW w:type="dxa" w:w="763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A way of finding trial text that is similar in meaning to the approved information.</w:t>
            </w:r>
          </w:p>
        </w:tc>
      </w:tr>
      <w:tr>
        <w:trPr>
          <w:cantSplit/>
        </w:trPr>
        <w:tc>
          <w:tcPr>
            <w:tcW w:type="dxa" w:w="2189"/>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Recall</w:t>
            </w:r>
          </w:p>
        </w:tc>
        <w:tc>
          <w:tcPr>
            <w:tcW w:type="dxa" w:w="7632"/>
            <w:shd w:fill="F7FAFC"/>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The share of expected items that a test system successfully finds.</w:t>
            </w:r>
          </w:p>
        </w:tc>
      </w:tr>
      <w:tr>
        <w:trPr>
          <w:cantSplit/>
        </w:trPr>
        <w:tc>
          <w:tcPr>
            <w:tcW w:type="dxa" w:w="2189"/>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Synthetic data</w:t>
            </w:r>
          </w:p>
        </w:tc>
        <w:tc>
          <w:tcPr>
            <w:tcW w:type="dxa" w:w="763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line="264" w:lineRule="auto"/>
            </w:pPr>
            <w:r>
              <w:rPr>
                <w:sz w:val="18"/>
              </w:rPr>
              <w:t>Invented examples used for development and demonstration, not real patient records.</w:t>
            </w:r>
          </w:p>
        </w:tc>
      </w:tr>
    </w:tbl>
    <w:p>
      <w:pPr>
        <w:spacing w:after="0"/>
      </w:pPr>
    </w:p>
    <w:p>
      <w:pPr>
        <w:pStyle w:val="Heading1"/>
      </w:pPr>
      <w:r>
        <w:t>Sources</w:t>
      </w:r>
    </w:p>
    <w:p>
      <w:pPr>
        <w:spacing w:after="80"/>
        <w:ind w:left="288" w:hanging="288"/>
      </w:pPr>
      <w:r>
        <w:rPr>
          <w:sz w:val="18"/>
        </w:rPr>
        <w:t>[1] National Library of Medicine. (2024). ClinicalTrials.gov API Version 2.0 now available. https://www.nlm.nih.gov/pubs/techbull/ma24/ma24_clinicaltrials_api.html</w:t>
      </w:r>
    </w:p>
    <w:p>
      <w:pPr>
        <w:spacing w:after="80"/>
        <w:ind w:left="288" w:hanging="288"/>
      </w:pPr>
      <w:r>
        <w:rPr>
          <w:sz w:val="18"/>
        </w:rPr>
        <w:t>[2] HealthTech Innovation Labs. (2026, October 11). OmniMatch Week 7 prototype verification [internal test report]. Chatgpt/omnimatch-renewed/docs/weekly-reports/Week7_Prototype_Test_Report.md</w:t>
      </w:r>
    </w:p>
    <w:p>
      <w:pPr>
        <w:spacing w:after="80"/>
        <w:ind w:left="288" w:hanging="288"/>
      </w:pPr>
      <w:r>
        <w:rPr>
          <w:sz w:val="18"/>
        </w:rPr>
        <w:t>[3] Jin, Q., et al. (2024). Matching patients to clinical trials with large language models. Nature Communications, 15, 9074. https://doi.org/10.1038/s41467-024-53081-z</w:t>
      </w:r>
    </w:p>
    <w:p>
      <w:pPr>
        <w:spacing w:after="80"/>
        <w:ind w:left="288" w:hanging="288"/>
      </w:pPr>
      <w:r>
        <w:rPr>
          <w:sz w:val="18"/>
        </w:rPr>
        <w:t>[4] Jain, S., Pathangi, R., Allam, P., &amp; Basak, S. (2026, August 19). AI-powered clinical trial eligibility and safety using Amazon Bedrock AgentCore. AWS Architecture Blog. https://aws.amazon.com/blogs/architecture/ai-agents-for-clinical-trial-screening/</w:t>
      </w:r>
    </w:p>
    <w:p>
      <w:pPr>
        <w:spacing w:after="80"/>
        <w:ind w:left="288" w:hanging="288"/>
      </w:pPr>
      <w:r>
        <w:rPr>
          <w:sz w:val="18"/>
        </w:rPr>
        <w:t>[5] Amazon Web Services. AWS HealthScribe AI Service Card. https://docs.aws.amazon.com/ai/responsible-ai/aws-healthscribe/overview.html</w:t>
      </w:r>
    </w:p>
    <w:p>
      <w:pPr>
        <w:spacing w:after="80"/>
        <w:ind w:left="288" w:hanging="288"/>
      </w:pPr>
      <w:r>
        <w:rPr>
          <w:sz w:val="18"/>
        </w:rPr>
        <w:t>[6] Abridge. (2025). Announcing Abridge Inside for inpatient and outpatient orders. https://www.abridge.com/press-release/abridge-inside-for-inpatient-and-outpatient-orders</w:t>
      </w:r>
    </w:p>
    <w:p>
      <w:pPr>
        <w:spacing w:after="80"/>
        <w:ind w:left="288" w:hanging="288"/>
      </w:pPr>
      <w:r>
        <w:rPr>
          <w:sz w:val="18"/>
        </w:rPr>
        <w:t>[7] Tempus. (2023). The Tempus TIME trial portal and clinical trial enrollment. https://www.tempus.com/publications/the-tempus-time-trial-portal-and-clinical-trial-enrollment/</w:t>
      </w:r>
    </w:p>
    <w:p>
      <w:pPr>
        <w:spacing w:after="80"/>
        <w:ind w:left="288" w:hanging="288"/>
      </w:pPr>
      <w:r>
        <w:rPr>
          <w:sz w:val="18"/>
        </w:rPr>
        <w:t>[8] World Wide Web Consortium. Web Content Accessibility Guidelines 2.1. https://www.w3.org/TR/WCAG21/</w:t>
      </w:r>
    </w:p>
    <w:p>
      <w:pPr>
        <w:spacing w:after="80"/>
        <w:ind w:left="288" w:hanging="288"/>
      </w:pPr>
      <w:r>
        <w:rPr>
          <w:sz w:val="18"/>
        </w:rPr>
        <w:t>[9] U.S. Department of Health and Human Services. Guidance regarding methods for de-identification of protected health information. https://www.hhs.gov/hipaa/for-professionals/special-topics/de-identification/index.html</w:t>
      </w:r>
    </w:p>
    <w:p>
      <w:pPr>
        <w:spacing w:after="80"/>
        <w:ind w:left="288" w:hanging="288"/>
      </w:pPr>
      <w:r>
        <w:rPr>
          <w:sz w:val="18"/>
        </w:rPr>
        <w:t>[10] U.S. Food and Drug Administration. (2026). Clinical decision support software guidance. https://www.fda.gov/regulatory-information/search-fda-guidance-documents/clinical-decision-support-software</w:t>
      </w:r>
    </w:p>
    <w:sectPr w:rsidR="00FC693F" w:rsidRPr="0006063C" w:rsidSect="00034616">
      <w:pgSz w:w="12240" w:h="15840"/>
      <w:pgMar w:top="1123" w:right="1210" w:bottom="1066"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OmniMatch Plain English Guide and Next Steps</dc:title>
  <dc:subject>Project explanation comparison and practical next steps</dc:subject>
  <dc:creator>HealthTech Innovation Labs</dc:creator>
  <cp:keywords/>
  <dc:description>generated by python-docx</dc:description>
  <cp:lastModifiedBy/>
  <cp:revision>1</cp:revision>
  <dcterms:created xsi:type="dcterms:W3CDTF">2013-12-23T23:15:00Z</dcterms:created>
  <dcterms:modified xsi:type="dcterms:W3CDTF">2013-12-23T23:15:00Z</dcterms:modified>
  <cp:category/>
</cp:coreProperties>
</file>