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OmniMatch Teammate Demo Instructions</w:t>
      </w:r>
    </w:p>
    <w:p>
      <w:pPr>
        <w:spacing w:after="200"/>
      </w:pPr>
      <w:r>
        <w:rPr>
          <w:sz w:val="21"/>
        </w:rPr>
        <w:t>How Rosie and Venkata can run the synthetic prototype and return useful feedback  |  October 13, 2026</w:t>
      </w:r>
    </w:p>
    <w:p>
      <w:pPr>
        <w:pStyle w:val="Heading1"/>
      </w:pPr>
      <w:r>
        <w:t>Purpose</w:t>
      </w:r>
    </w:p>
    <w:p>
      <w:r>
        <w:t>This guide helps each teammate try OmniMatch independently before the October 20 presentation. The goal is to find real problems, confusing wording, and unstable steps while there is still time to fix or explain them. Use only the fictional example in this guide. Do not enter real patient information.</w:t>
      </w:r>
    </w:p>
    <w:p>
      <w:r>
        <w:t>A successful review does not require every feature to work. Record exactly what happened, including failures. Honest feedback is more valuable than a general statement that the demo looks good.</w:t>
      </w:r>
    </w:p>
    <w:p>
      <w:pPr>
        <w:pStyle w:val="Heading1"/>
      </w:pPr>
      <w:r>
        <w:t>What to share</w:t>
      </w:r>
    </w:p>
    <w:tbl>
      <w:tblPr>
        <w:tblStyle w:val="TableGrid"/>
        <w:tblW w:type="auto" w:w="0"/>
        <w:tblLayout w:type="fixed"/>
        <w:tblLook w:firstColumn="1" w:firstRow="1" w:lastColumn="0" w:lastRow="0" w:noHBand="0" w:noVBand="1" w:val="04A0"/>
      </w:tblPr>
      <w:tblGrid>
        <w:gridCol w:w="3096"/>
        <w:gridCol w:w="6725"/>
      </w:tblGrid>
      <w:tr>
        <w:trPr>
          <w:tblHeader/>
        </w:trPr>
        <w:tc>
          <w:tcPr>
            <w:tcW w:type="dxa" w:w="3096"/>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Material</w:t>
            </w:r>
          </w:p>
        </w:tc>
        <w:tc>
          <w:tcPr>
            <w:tcW w:type="dxa" w:w="6725"/>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How to use it</w:t>
            </w:r>
          </w:p>
        </w:tc>
      </w:tr>
      <w:tr>
        <w:trPr>
          <w:cantSplit/>
        </w:trPr>
        <w:tc>
          <w:tcPr>
            <w:tcW w:type="dxa" w:w="309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Complete omnimatch-renewed project folder</w:t>
            </w:r>
          </w:p>
        </w:tc>
        <w:tc>
          <w:tcPr>
            <w:tcW w:type="dxa" w:w="672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Required to run the application. Share the whole working copy separately through your normal team file-sharing method.</w:t>
            </w:r>
          </w:p>
        </w:tc>
      </w:tr>
      <w:tr>
        <w:trPr>
          <w:cantSplit/>
        </w:trPr>
        <w:tc>
          <w:tcPr>
            <w:tcW w:type="dxa" w:w="309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Teammate Demo Instructions</w:t>
            </w:r>
          </w:p>
        </w:tc>
        <w:tc>
          <w:tcPr>
            <w:tcW w:type="dxa" w:w="672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Follow this file from setup through shutdown.</w:t>
            </w:r>
          </w:p>
        </w:tc>
      </w:tr>
      <w:tr>
        <w:trPr>
          <w:cantSplit/>
        </w:trPr>
        <w:tc>
          <w:tcPr>
            <w:tcW w:type="dxa" w:w="309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Teammate Demo Feedback Form</w:t>
            </w:r>
          </w:p>
        </w:tc>
        <w:tc>
          <w:tcPr>
            <w:tcW w:type="dxa" w:w="672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Each teammate completes a separate copy and returns it to Suhas.</w:t>
            </w:r>
          </w:p>
        </w:tc>
      </w:tr>
      <w:tr>
        <w:trPr>
          <w:cantSplit/>
        </w:trPr>
        <w:tc>
          <w:tcPr>
            <w:tcW w:type="dxa" w:w="309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Plain English Guide</w:t>
            </w:r>
          </w:p>
        </w:tc>
        <w:tc>
          <w:tcPr>
            <w:tcW w:type="dxa" w:w="672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Read this first if the project purpose or limitations are unclear.</w:t>
            </w:r>
          </w:p>
        </w:tc>
      </w:tr>
      <w:tr>
        <w:trPr>
          <w:cantSplit/>
        </w:trPr>
        <w:tc>
          <w:tcPr>
            <w:tcW w:type="dxa" w:w="309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October 20 Team Presentation Guide</w:t>
            </w:r>
          </w:p>
        </w:tc>
        <w:tc>
          <w:tcPr>
            <w:tcW w:type="dxa" w:w="672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Use this later for speaking roles, timing, and handoffs.</w:t>
            </w:r>
          </w:p>
        </w:tc>
      </w:tr>
      <w:tr>
        <w:trPr>
          <w:cantSplit/>
        </w:trPr>
        <w:tc>
          <w:tcPr>
            <w:tcW w:type="dxa" w:w="309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Week 7 Prototype Test Report</w:t>
            </w:r>
          </w:p>
        </w:tc>
        <w:tc>
          <w:tcPr>
            <w:tcW w:type="dxa" w:w="672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Use the measured results when discussing what is verified and what remains incomplete.</w:t>
            </w:r>
          </w:p>
        </w:tc>
      </w:tr>
    </w:tbl>
    <w:p>
      <w:pPr>
        <w:spacing w:after="0"/>
      </w:pPr>
    </w:p>
    <w:p>
      <w:pPr>
        <w:pStyle w:val="Heading1"/>
      </w:pPr>
      <w:r>
        <w:t>Review responsibilities</w:t>
      </w:r>
    </w:p>
    <w:tbl>
      <w:tblPr>
        <w:tblStyle w:val="TableGrid"/>
        <w:tblW w:type="auto" w:w="0"/>
        <w:tblLayout w:type="fixed"/>
        <w:tblLook w:firstColumn="1" w:firstRow="1" w:lastColumn="0" w:lastRow="0" w:noHBand="0" w:noVBand="1" w:val="04A0"/>
      </w:tblPr>
      <w:tblGrid>
        <w:gridCol w:w="1512"/>
        <w:gridCol w:w="4723"/>
        <w:gridCol w:w="3586"/>
      </w:tblGrid>
      <w:tr>
        <w:trPr>
          <w:tblHeader/>
        </w:trPr>
        <w:tc>
          <w:tcPr>
            <w:tcW w:type="dxa" w:w="1512"/>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Person</w:t>
            </w:r>
          </w:p>
        </w:tc>
        <w:tc>
          <w:tcPr>
            <w:tcW w:type="dxa" w:w="4723"/>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Primary review</w:t>
            </w:r>
          </w:p>
        </w:tc>
        <w:tc>
          <w:tcPr>
            <w:tcW w:type="dxa" w:w="3586"/>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Questions to answer</w:t>
            </w:r>
          </w:p>
        </w:tc>
      </w:tr>
      <w:tr>
        <w:trPr>
          <w:cantSplit/>
        </w:trPr>
        <w:tc>
          <w:tcPr>
            <w:tcW w:type="dxa" w:w="15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Rosie</w:t>
            </w:r>
          </w:p>
        </w:tc>
        <w:tc>
          <w:tcPr>
            <w:tcW w:type="dxa" w:w="472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Backend behavior, sign-in, role protection, consent logs, trial synchronization, inbox results, and failure messages.</w:t>
            </w:r>
          </w:p>
        </w:tc>
        <w:tc>
          <w:tcPr>
            <w:tcW w:type="dxa" w:w="35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Can a teammate tell when a service failed? Are access and privacy claims stated carefully?</w:t>
            </w:r>
          </w:p>
        </w:tc>
      </w:tr>
      <w:tr>
        <w:trPr>
          <w:cantSplit/>
        </w:trPr>
        <w:tc>
          <w:tcPr>
            <w:tcW w:type="dxa" w:w="1512"/>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Venkata</w:t>
            </w:r>
          </w:p>
        </w:tc>
        <w:tc>
          <w:tcPr>
            <w:tcW w:type="dxa" w:w="472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Navigation, consent control, recording page, entity approval, inbox readability, keyboard use, focus, and wording.</w:t>
            </w:r>
          </w:p>
        </w:tc>
        <w:tc>
          <w:tcPr>
            <w:tcW w:type="dxa" w:w="358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Can a new user finish the flow without help? Which screen or instruction is confusing?</w:t>
            </w:r>
          </w:p>
        </w:tc>
      </w:tr>
      <w:tr>
        <w:trPr>
          <w:cantSplit/>
        </w:trPr>
        <w:tc>
          <w:tcPr>
            <w:tcW w:type="dxa" w:w="15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Suhas</w:t>
            </w:r>
          </w:p>
        </w:tc>
        <w:tc>
          <w:tcPr>
            <w:tcW w:type="dxa" w:w="472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Speech transcription, NLP results, matching behavior, integration, demo timing, and final issue list.</w:t>
            </w:r>
          </w:p>
        </w:tc>
        <w:tc>
          <w:tcPr>
            <w:tcW w:type="dxa" w:w="35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8"/>
              </w:rPr>
              <w:t>Which problems must be fixed before class, and which should be disclosed as limitations?</w:t>
            </w:r>
          </w:p>
        </w:tc>
      </w:tr>
    </w:tbl>
    <w:p>
      <w:pPr>
        <w:spacing w:after="0"/>
      </w:pPr>
    </w:p>
    <w:p>
      <w:pPr>
        <w:pStyle w:val="Heading1"/>
      </w:pPr>
      <w:r>
        <w:t>What you need</w:t>
      </w:r>
    </w:p>
    <w:p>
      <w:pPr>
        <w:pStyle w:val="ListBullet"/>
      </w:pPr>
      <w:r>
        <w:t>Windows computer with at least 12 GB of free disk space for container images, dependencies, and the Whisper model.</w:t>
      </w:r>
    </w:p>
    <w:p>
      <w:pPr>
        <w:pStyle w:val="ListBullet"/>
      </w:pPr>
      <w:r>
        <w:t>Docker Desktop running with Linux containers enabled.</w:t>
      </w:r>
    </w:p>
    <w:p>
      <w:pPr>
        <w:pStyle w:val="ListBullet"/>
      </w:pPr>
      <w:r>
        <w:t>Node.js 20 and npm available in PowerShell.</w:t>
      </w:r>
    </w:p>
    <w:p>
      <w:pPr>
        <w:pStyle w:val="ListBullet"/>
      </w:pPr>
      <w:r>
        <w:t>A recent Chrome or Edge browser with microphone permission.</w:t>
      </w:r>
    </w:p>
    <w:p>
      <w:pPr>
        <w:pStyle w:val="ListBullet"/>
      </w:pPr>
      <w:r>
        <w:t>Internet access for the first build and the ClinicalTrials.gov trial sync.</w:t>
      </w:r>
    </w:p>
    <w:p>
      <w:pPr>
        <w:pStyle w:val="ListBullet"/>
      </w:pPr>
      <w:r>
        <w:t>The complete Chatgpt\omnimatch-renewed project folder, not only the documentation ZIP.</w:t>
      </w:r>
    </w:p>
    <w:p>
      <w:pPr>
        <w:pStyle w:val="Heading1"/>
      </w:pPr>
      <w:r>
        <w:t>Important limits before testing</w:t>
      </w:r>
    </w:p>
    <w:p>
      <w:pPr>
        <w:pStyle w:val="ListBullet"/>
      </w:pPr>
      <w:r>
        <w:t>Use synthetic data only. Do not speak or type any real patient name, date of birth, address, medical record number, or health history.</w:t>
      </w:r>
    </w:p>
    <w:p>
      <w:pPr>
        <w:pStyle w:val="ListBullet"/>
      </w:pPr>
      <w:r>
        <w:t>This is an academic prototype. Do not describe it as HIPAA compliant, clinically validated, or ready for patients.</w:t>
      </w:r>
    </w:p>
    <w:p>
      <w:pPr>
        <w:pStyle w:val="ListBullet"/>
      </w:pPr>
      <w:r>
        <w:t>The readiness number is a sorting aid. It is not the chance that a person will enroll.</w:t>
      </w:r>
    </w:p>
    <w:p>
      <w:pPr>
        <w:pStyle w:val="ListBullet"/>
      </w:pPr>
      <w:r>
        <w:t>The latest verification found 155 of 157 backend tests and 54 of 54 frontend tests passing. The NLP accuracy target was not met, and the complete live pipeline was not verified together.</w:t>
      </w:r>
    </w:p>
    <w:p>
      <w:pPr>
        <w:pStyle w:val="Heading1"/>
      </w:pPr>
      <w:r>
        <w:t>Recommended setup</w:t>
      </w:r>
    </w:p>
    <w:p>
      <w:r>
        <w:t>The most dependable current arrangement is to run Qdrant and the backend in Docker, then run the frontend locally. This avoids the current container build setting that can give the browser an internal backend address. Do not use docker-compose.dev.yml for this review; its health-check formatting still needs correction.</w:t>
      </w:r>
    </w:p>
    <w:p>
      <w:pPr>
        <w:ind w:left="403" w:hanging="331"/>
      </w:pPr>
      <w:r>
        <w:rPr>
          <w:b/>
        </w:rPr>
        <w:t xml:space="preserve">1. </w:t>
      </w:r>
      <w:r>
        <w:t>Open PowerShell in the omnimatch-renewed folder. Confirm Docker Desktop is running.</w:t>
      </w:r>
    </w:p>
    <w:p>
      <w:pPr>
        <w:spacing w:before="40" w:after="120"/>
        <w:ind w:left="360" w:right="259"/>
      </w:pPr>
      <w:r>
        <w:rPr>
          <w:rFonts w:ascii="Consolas" w:hAnsi="Consolas"/>
          <w:sz w:val="18"/>
        </w:rPr>
        <w:t>docker version</w:t>
      </w:r>
    </w:p>
    <w:p>
      <w:pPr>
        <w:spacing w:before="40" w:after="120"/>
        <w:ind w:left="360" w:right="259"/>
      </w:pPr>
      <w:r>
        <w:rPr>
          <w:rFonts w:ascii="Consolas" w:hAnsi="Consolas"/>
          <w:sz w:val="18"/>
        </w:rPr>
        <w:t>node --version</w:t>
      </w:r>
    </w:p>
    <w:p>
      <w:pPr>
        <w:spacing w:before="40" w:after="120"/>
        <w:ind w:left="360" w:right="259"/>
      </w:pPr>
      <w:r>
        <w:rPr>
          <w:rFonts w:ascii="Consolas" w:hAnsi="Consolas"/>
          <w:sz w:val="18"/>
        </w:rPr>
        <w:t>npm --version</w:t>
      </w:r>
    </w:p>
    <w:p>
      <w:pPr>
        <w:ind w:left="403" w:hanging="331"/>
      </w:pPr>
      <w:r>
        <w:rPr>
          <w:b/>
        </w:rPr>
        <w:t xml:space="preserve">2. </w:t>
      </w:r>
      <w:r>
        <w:t>Create backend\.env from the supplied example. Open the new file and replace both change-me secret values with long random development-only values. For a faster review, set WHISPER_MODEL=tiny and CLINICALTRIALS_MAX_STUDIES=50. Keep DIGEST_WEBHOOK_URL blank.</w:t>
      </w:r>
    </w:p>
    <w:p>
      <w:pPr>
        <w:spacing w:before="40" w:after="120"/>
        <w:ind w:left="360" w:right="259"/>
      </w:pPr>
      <w:r>
        <w:rPr>
          <w:rFonts w:ascii="Consolas" w:hAnsi="Consolas"/>
          <w:sz w:val="18"/>
        </w:rPr>
        <w:t>Copy-Item -LiteralPath .\backend\.env.example -Destination .\backend\.env</w:t>
      </w:r>
    </w:p>
    <w:p>
      <w:pPr>
        <w:ind w:left="403" w:hanging="331"/>
      </w:pPr>
      <w:r>
        <w:rPr>
          <w:b/>
        </w:rPr>
        <w:t xml:space="preserve">3. </w:t>
      </w:r>
      <w:r>
        <w:t>Build and start Qdrant and the backend. The first build can take several minutes because it downloads Python packages and the speech model.</w:t>
      </w:r>
    </w:p>
    <w:p>
      <w:pPr>
        <w:spacing w:before="40" w:after="120"/>
        <w:ind w:left="360" w:right="259"/>
      </w:pPr>
      <w:r>
        <w:rPr>
          <w:rFonts w:ascii="Consolas" w:hAnsi="Consolas"/>
          <w:sz w:val="18"/>
        </w:rPr>
        <w:t>docker compose up qdrant backend --build</w:t>
      </w:r>
    </w:p>
    <w:p>
      <w:r>
        <w:t>Leave this PowerShell window open. Wait until the backend health check is ready. If the build stops, copy the final error into the feedback form.</w:t>
      </w:r>
    </w:p>
    <w:p>
      <w:pPr>
        <w:ind w:left="403" w:hanging="331"/>
      </w:pPr>
      <w:r>
        <w:rPr>
          <w:b/>
        </w:rPr>
        <w:t xml:space="preserve">4. </w:t>
      </w:r>
      <w:r>
        <w:t>Open a second PowerShell window in the frontend folder. Start the browser-facing application with the local backend address.</w:t>
      </w:r>
    </w:p>
    <w:p>
      <w:pPr>
        <w:spacing w:before="40" w:after="120"/>
        <w:ind w:left="360" w:right="259"/>
      </w:pPr>
      <w:r>
        <w:rPr>
          <w:rFonts w:ascii="Consolas" w:hAnsi="Consolas"/>
          <w:sz w:val="18"/>
        </w:rPr>
        <w:t>$env:NEXT_PUBLIC_API_URL='http://localhost:8000'</w:t>
      </w:r>
    </w:p>
    <w:p>
      <w:pPr>
        <w:spacing w:before="40" w:after="120"/>
        <w:ind w:left="360" w:right="259"/>
      </w:pPr>
      <w:r>
        <w:rPr>
          <w:rFonts w:ascii="Consolas" w:hAnsi="Consolas"/>
          <w:sz w:val="18"/>
        </w:rPr>
        <w:t>npm install --legacy-peer-deps</w:t>
      </w:r>
    </w:p>
    <w:p>
      <w:pPr>
        <w:spacing w:before="40" w:after="120"/>
        <w:ind w:left="360" w:right="259"/>
      </w:pPr>
      <w:r>
        <w:rPr>
          <w:rFonts w:ascii="Consolas" w:hAnsi="Consolas"/>
          <w:sz w:val="18"/>
        </w:rPr>
        <w:t>npm run dev</w:t>
      </w:r>
    </w:p>
    <w:p>
      <w:pPr>
        <w:ind w:left="403" w:hanging="331"/>
      </w:pPr>
      <w:r>
        <w:rPr>
          <w:b/>
        </w:rPr>
        <w:t xml:space="preserve">5. </w:t>
      </w:r>
      <w:r>
        <w:t>Open the health page and application. The health page may say degraded until Qdrant is ready; it should not stay degraded before matching.</w:t>
      </w:r>
    </w:p>
    <w:p>
      <w:pPr>
        <w:spacing w:before="40" w:after="120"/>
        <w:ind w:left="360" w:right="259"/>
      </w:pPr>
      <w:r>
        <w:rPr>
          <w:rFonts w:ascii="Consolas" w:hAnsi="Consolas"/>
          <w:sz w:val="18"/>
        </w:rPr>
        <w:t>http://localhost:8000/api/v1/health</w:t>
      </w:r>
    </w:p>
    <w:p>
      <w:pPr>
        <w:spacing w:before="40" w:after="120"/>
        <w:ind w:left="360" w:right="259"/>
      </w:pPr>
      <w:r>
        <w:rPr>
          <w:rFonts w:ascii="Consolas" w:hAnsi="Consolas"/>
          <w:sz w:val="18"/>
        </w:rPr>
        <w:t>http://localhost:3000</w:t>
      </w:r>
    </w:p>
    <w:p>
      <w:pPr>
        <w:pStyle w:val="Heading1"/>
      </w:pPr>
      <w:r>
        <w:t>Load trial records once</w:t>
      </w:r>
    </w:p>
    <w:p>
      <w:r>
        <w:t>Qdrant is empty on a new setup. Load a small set before expecting inbox matches.</w:t>
      </w:r>
    </w:p>
    <w:p>
      <w:pPr>
        <w:ind w:left="403" w:hanging="331"/>
      </w:pPr>
      <w:r>
        <w:rPr>
          <w:b/>
        </w:rPr>
        <w:t xml:space="preserve">1. </w:t>
      </w:r>
      <w:r>
        <w:t>Open http://localhost:8000/api/docs and expand POST /api/v1/auth/login.</w:t>
      </w:r>
    </w:p>
    <w:p>
      <w:pPr>
        <w:ind w:left="403" w:hanging="331"/>
      </w:pPr>
      <w:r>
        <w:rPr>
          <w:b/>
        </w:rPr>
        <w:t xml:space="preserve">2. </w:t>
      </w:r>
      <w:r>
        <w:t>Use the demo administrator account shown in the project login implementation: admin and Admin@12345. Execute the request and copy only the access token. Do not include the token in screenshots or feedback.</w:t>
      </w:r>
    </w:p>
    <w:p>
      <w:pPr>
        <w:ind w:left="403" w:hanging="331"/>
      </w:pPr>
      <w:r>
        <w:rPr>
          <w:b/>
        </w:rPr>
        <w:t xml:space="preserve">3. </w:t>
      </w:r>
      <w:r>
        <w:t>Click Authorize in the API page and enter the token. Then execute POST /api/v1/trials/sync. With CLINICALTRIALS_MAX_STUDIES=50, the response should report a sync count and status.</w:t>
      </w:r>
    </w:p>
    <w:p>
      <w:pPr>
        <w:ind w:left="403" w:hanging="331"/>
      </w:pPr>
      <w:r>
        <w:rPr>
          <w:b/>
        </w:rPr>
        <w:t xml:space="preserve">4. </w:t>
      </w:r>
      <w:r>
        <w:t>If the sync fails, record the message. Do not manually invent trial results. The UI can still be reviewed without claiming a completed match.</w:t>
      </w:r>
    </w:p>
    <w:p>
      <w:pPr>
        <w:pStyle w:val="Heading1"/>
      </w:pPr>
      <w:r>
        <w:t>Run the synthetic demo</w:t>
      </w:r>
    </w:p>
    <w:p>
      <w:pPr>
        <w:ind w:left="403" w:hanging="331"/>
      </w:pPr>
      <w:r>
        <w:rPr>
          <w:b/>
        </w:rPr>
        <w:t xml:space="preserve">1. </w:t>
      </w:r>
      <w:r>
        <w:t>Open http://localhost:3000/login. Sign in as clinical_staff with the demo password displayed on that page. These credentials are for local demonstration only.</w:t>
      </w:r>
    </w:p>
    <w:p>
      <w:pPr>
        <w:ind w:left="403" w:hanging="331"/>
      </w:pPr>
      <w:r>
        <w:rPr>
          <w:b/>
        </w:rPr>
        <w:t xml:space="preserve">2. </w:t>
      </w:r>
      <w:r>
        <w:t>Open New Session. Before granting consent, confirm that recording cannot begin. Grant consent and confirm that the page changes clearly.</w:t>
      </w:r>
    </w:p>
    <w:p>
      <w:pPr>
        <w:ind w:left="403" w:hanging="331"/>
      </w:pPr>
      <w:r>
        <w:rPr>
          <w:b/>
        </w:rPr>
        <w:t xml:space="preserve">3. </w:t>
      </w:r>
      <w:r>
        <w:t>Allow microphone permission and record this fictional statement slowly:</w:t>
      </w:r>
    </w:p>
    <w:p>
      <w:r>
        <w:t>'The patient has type 2 diabetes and takes metformin. They deny hypertension. There is a family history of stroke. We do not have a recent HbA1c.'</w:t>
      </w:r>
    </w:p>
    <w:p>
      <w:pPr>
        <w:ind w:left="403" w:hanging="331"/>
      </w:pPr>
      <w:r>
        <w:rPr>
          <w:b/>
        </w:rPr>
        <w:t xml:space="preserve">4. </w:t>
      </w:r>
      <w:r>
        <w:t>Stop recording. Note the transcription and the concepts shown on the verification page. Do not correct the system silently; record every wrong, missing, or unclear result.</w:t>
      </w:r>
    </w:p>
    <w:p>
      <w:pPr>
        <w:ind w:left="403" w:hanging="331"/>
      </w:pPr>
      <w:r>
        <w:rPr>
          <w:b/>
        </w:rPr>
        <w:t xml:space="preserve">5. </w:t>
      </w:r>
      <w:r>
        <w:t>Approve only the fictional patient's positive concepts. Do not approve denied hypertension or family-history stroke as patient conditions. Submit the review.</w:t>
      </w:r>
    </w:p>
    <w:p>
      <w:pPr>
        <w:ind w:left="403" w:hanging="331"/>
      </w:pPr>
      <w:r>
        <w:rPr>
          <w:b/>
        </w:rPr>
        <w:t xml:space="preserve">6. </w:t>
      </w:r>
      <w:r>
        <w:t>Open the inbox. If a trial appears, inspect the criteria, missing information, readiness number, evidence, freshness label, and referral control. If no trial appears, record that result without treating it as a failure unless the trial sync succeeded.</w:t>
      </w:r>
    </w:p>
    <w:p>
      <w:pPr>
        <w:ind w:left="403" w:hanging="331"/>
      </w:pPr>
      <w:r>
        <w:rPr>
          <w:b/>
        </w:rPr>
        <w:t xml:space="preserve">7. </w:t>
      </w:r>
      <w:r>
        <w:t>Try the Timeline page with a fictional pseudonym if timeline data exists. Confirm that it does not ask for a real identity.</w:t>
      </w:r>
    </w:p>
    <w:p>
      <w:pPr>
        <w:pStyle w:val="Heading1"/>
      </w:pPr>
      <w:r>
        <w:t>Required checks</w:t>
      </w:r>
    </w:p>
    <w:tbl>
      <w:tblPr>
        <w:tblStyle w:val="TableGrid"/>
        <w:tblW w:type="auto" w:w="0"/>
        <w:tblLayout w:type="fixed"/>
        <w:tblLook w:firstColumn="1" w:firstRow="1" w:lastColumn="0" w:lastRow="0" w:noHBand="0" w:noVBand="1" w:val="04A0"/>
      </w:tblPr>
      <w:tblGrid>
        <w:gridCol w:w="1829"/>
        <w:gridCol w:w="3917"/>
        <w:gridCol w:w="4075"/>
      </w:tblGrid>
      <w:tr>
        <w:trPr>
          <w:tblHeader/>
        </w:trPr>
        <w:tc>
          <w:tcPr>
            <w:tcW w:type="dxa" w:w="1829"/>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7"/>
              </w:rPr>
              <w:t>Check</w:t>
            </w:r>
          </w:p>
        </w:tc>
        <w:tc>
          <w:tcPr>
            <w:tcW w:type="dxa" w:w="3917"/>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7"/>
              </w:rPr>
              <w:t>Expected behavior</w:t>
            </w:r>
          </w:p>
        </w:tc>
        <w:tc>
          <w:tcPr>
            <w:tcW w:type="dxa" w:w="4075"/>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7"/>
              </w:rPr>
              <w:t>Record if different</w:t>
            </w:r>
          </w:p>
        </w:tc>
      </w:tr>
      <w:tr>
        <w:trPr>
          <w:cantSplit/>
        </w:trPr>
        <w:tc>
          <w:tcPr>
            <w:tcW w:type="dxa" w:w="182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Consent</w:t>
            </w:r>
          </w:p>
        </w:tc>
        <w:tc>
          <w:tcPr>
            <w:tcW w:type="dxa" w:w="391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No microphone use before consent; grant and revoke actions are clear.</w:t>
            </w:r>
          </w:p>
        </w:tc>
        <w:tc>
          <w:tcPr>
            <w:tcW w:type="dxa" w:w="407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Did recording become available too early or remain available after revocation?</w:t>
            </w:r>
          </w:p>
        </w:tc>
      </w:tr>
      <w:tr>
        <w:trPr>
          <w:cantSplit/>
        </w:trPr>
        <w:tc>
          <w:tcPr>
            <w:tcW w:type="dxa" w:w="182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Transcription</w:t>
            </w:r>
          </w:p>
        </w:tc>
        <w:tc>
          <w:tcPr>
            <w:tcW w:type="dxa" w:w="3917"/>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The spoken statement becomes readable text.</w:t>
            </w:r>
          </w:p>
        </w:tc>
        <w:tc>
          <w:tcPr>
            <w:tcW w:type="dxa" w:w="407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List wrong or missing words and whether the confidence display helped.</w:t>
            </w:r>
          </w:p>
        </w:tc>
      </w:tr>
      <w:tr>
        <w:trPr>
          <w:cantSplit/>
        </w:trPr>
        <w:tc>
          <w:tcPr>
            <w:tcW w:type="dxa" w:w="182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Entity review</w:t>
            </w:r>
          </w:p>
        </w:tc>
        <w:tc>
          <w:tcPr>
            <w:tcW w:type="dxa" w:w="391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Every proposed item has a clear approve or reject choice.</w:t>
            </w:r>
          </w:p>
        </w:tc>
        <w:tc>
          <w:tcPr>
            <w:tcW w:type="dxa" w:w="407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List missing concepts, false concepts, denied facts, or family facts handled incorrectly.</w:t>
            </w:r>
          </w:p>
        </w:tc>
      </w:tr>
      <w:tr>
        <w:trPr>
          <w:cantSplit/>
        </w:trPr>
        <w:tc>
          <w:tcPr>
            <w:tcW w:type="dxa" w:w="182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Approved only</w:t>
            </w:r>
          </w:p>
        </w:tc>
        <w:tc>
          <w:tcPr>
            <w:tcW w:type="dxa" w:w="3917"/>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Only approved patient-context concepts are submitted for matching.</w:t>
            </w:r>
          </w:p>
        </w:tc>
        <w:tc>
          <w:tcPr>
            <w:tcW w:type="dxa" w:w="407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Note any rejected, denied, or family concept appearing in the match explanation.</w:t>
            </w:r>
          </w:p>
        </w:tc>
      </w:tr>
      <w:tr>
        <w:trPr>
          <w:cantSplit/>
        </w:trPr>
        <w:tc>
          <w:tcPr>
            <w:tcW w:type="dxa" w:w="182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Inbox</w:t>
            </w:r>
          </w:p>
        </w:tc>
        <w:tc>
          <w:tcPr>
            <w:tcW w:type="dxa" w:w="391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The result arrives after submission without interrupting the visit.</w:t>
            </w:r>
          </w:p>
        </w:tc>
        <w:tc>
          <w:tcPr>
            <w:tcW w:type="dxa" w:w="407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Record wait time, errors, empty state, and any confusing labels.</w:t>
            </w:r>
          </w:p>
        </w:tc>
      </w:tr>
      <w:tr>
        <w:trPr>
          <w:cantSplit/>
        </w:trPr>
        <w:tc>
          <w:tcPr>
            <w:tcW w:type="dxa" w:w="182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Trial explanation</w:t>
            </w:r>
          </w:p>
        </w:tc>
        <w:tc>
          <w:tcPr>
            <w:tcW w:type="dxa" w:w="3917"/>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Missing facts remain missing and the result is presented as a lead.</w:t>
            </w:r>
          </w:p>
        </w:tc>
        <w:tc>
          <w:tcPr>
            <w:tcW w:type="dxa" w:w="407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Note any language that sounds like confirmed eligibility.</w:t>
            </w:r>
          </w:p>
        </w:tc>
      </w:tr>
      <w:tr>
        <w:trPr>
          <w:cantSplit/>
        </w:trPr>
        <w:tc>
          <w:tcPr>
            <w:tcW w:type="dxa" w:w="182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Freshness</w:t>
            </w:r>
          </w:p>
        </w:tc>
        <w:tc>
          <w:tcPr>
            <w:tcW w:type="dxa" w:w="391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Old, inactive, or location-poor records ask for verification.</w:t>
            </w:r>
          </w:p>
        </w:tc>
        <w:tc>
          <w:tcPr>
            <w:tcW w:type="dxa" w:w="407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Note any READY label that appears unjustified.</w:t>
            </w:r>
          </w:p>
        </w:tc>
      </w:tr>
      <w:tr>
        <w:trPr>
          <w:cantSplit/>
        </w:trPr>
        <w:tc>
          <w:tcPr>
            <w:tcW w:type="dxa" w:w="182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Keyboard</w:t>
            </w:r>
          </w:p>
        </w:tc>
        <w:tc>
          <w:tcPr>
            <w:tcW w:type="dxa" w:w="3917"/>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Tab order is understandable and visible; Enter or Space activates controls.</w:t>
            </w:r>
          </w:p>
        </w:tc>
        <w:tc>
          <w:tcPr>
            <w:tcW w:type="dxa" w:w="407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59" w:lineRule="auto"/>
            </w:pPr>
            <w:r>
              <w:rPr>
                <w:sz w:val="17"/>
              </w:rPr>
              <w:t>Name the page and control where keyboard use fails.</w:t>
            </w:r>
          </w:p>
        </w:tc>
      </w:tr>
    </w:tbl>
    <w:p>
      <w:pPr>
        <w:spacing w:after="0"/>
      </w:pPr>
    </w:p>
    <w:p>
      <w:pPr>
        <w:pStyle w:val="Heading1"/>
      </w:pPr>
      <w:r>
        <w:t>How to give genuine comments</w:t>
      </w:r>
    </w:p>
    <w:p>
      <w:r>
        <w:t>Use this pattern for every important comment: where it happened, what you did, what you expected, what actually happened, and why it matters. Include a screenshot only if it contains no password, token, real patient information, or private system detail.</w:t>
      </w:r>
    </w:p>
    <w:p>
      <w:r>
        <w:t>Useful example: 'On the verification page, I pressed Tab after approving diabetes. Focus moved to the page header instead of the next entity. I expected the next Approve or Reject control. This could slow keyboard-only review.'</w:t>
      </w:r>
    </w:p>
    <w:p>
      <w:r>
        <w:t>Too vague: 'The interface is good' or 'the AI did not work.' Explain the screen, action, and observed result.</w:t>
      </w:r>
    </w:p>
    <w:p>
      <w:pPr>
        <w:pStyle w:val="Heading1"/>
      </w:pPr>
      <w:r>
        <w:t>How to stop without deleting data</w:t>
      </w:r>
    </w:p>
    <w:p>
      <w:r>
        <w:t>Stop the frontend with Ctrl+C in its PowerShell window. Stop the Docker services from the project folder with the command below. Do not add -v because that would remove the saved Docker volumes and trial index.</w:t>
      </w:r>
    </w:p>
    <w:p>
      <w:pPr>
        <w:spacing w:before="40" w:after="120"/>
        <w:ind w:left="360" w:right="259"/>
      </w:pPr>
      <w:r>
        <w:rPr>
          <w:rFonts w:ascii="Consolas" w:hAnsi="Consolas"/>
          <w:sz w:val="18"/>
        </w:rPr>
        <w:t>docker compose down</w:t>
      </w:r>
    </w:p>
    <w:p>
      <w:pPr>
        <w:pStyle w:val="Heading1"/>
      </w:pPr>
      <w:r>
        <w:t>What to return to Suhas</w:t>
      </w:r>
    </w:p>
    <w:p>
      <w:pPr>
        <w:pStyle w:val="ListBullet"/>
      </w:pPr>
      <w:r>
        <w:t>One completed feedback form renamed with the reviewer's name and review date.</w:t>
      </w:r>
    </w:p>
    <w:p>
      <w:pPr>
        <w:pStyle w:val="ListBullet"/>
      </w:pPr>
      <w:r>
        <w:t>The exact step where any failure occurred and the final visible error message.</w:t>
      </w:r>
    </w:p>
    <w:p>
      <w:pPr>
        <w:pStyle w:val="ListBullet"/>
      </w:pPr>
      <w:r>
        <w:t>The total time from submitting approved entities to seeing the inbox result, if a result appears.</w:t>
      </w:r>
    </w:p>
    <w:p>
      <w:pPr>
        <w:pStyle w:val="ListBullet"/>
      </w:pPr>
      <w:r>
        <w:t>Up to three screenshots with secrets and real data excluded.</w:t>
      </w:r>
    </w:p>
    <w:p>
      <w:pPr>
        <w:pStyle w:val="ListBullet"/>
      </w:pPr>
      <w:r>
        <w:t>A short recommendation: fix before October 20, explain as a limitation, or improve after the presentation.</w:t>
      </w:r>
    </w:p>
    <w:sectPr w:rsidR="00FC693F" w:rsidRPr="0006063C" w:rsidSect="00034616">
      <w:pgSz w:w="12240" w:h="15840"/>
      <w:pgMar w:top="1080"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OmniMatch Teammate Demo Instructions</dc:title>
  <dc:subject/>
  <dc:creator>HealthTech Innovation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