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8D1D" w14:textId="77777777" w:rsidR="00BA4AAF" w:rsidRDefault="00000000">
      <w:r>
        <w:rPr>
          <w:b/>
          <w:color w:val="1F2A44"/>
          <w:sz w:val="56"/>
        </w:rPr>
        <w:t>CRU2026</w:t>
      </w:r>
    </w:p>
    <w:p w14:paraId="152B5739" w14:textId="77777777" w:rsidR="00BA4AAF" w:rsidRDefault="00000000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34D90DEF" w14:textId="77777777">
        <w:tc>
          <w:tcPr>
            <w:tcW w:w="3118" w:type="dxa"/>
          </w:tcPr>
          <w:p w14:paraId="3ABDD656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1FD476AA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78609B12" w14:textId="77777777">
        <w:tc>
          <w:tcPr>
            <w:tcW w:w="3118" w:type="dxa"/>
          </w:tcPr>
          <w:p w14:paraId="05F849D1" w14:textId="77777777" w:rsidR="00BA4AAF" w:rsidRDefault="00000000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21348F0D" w14:textId="77777777" w:rsidR="00BA4AAF" w:rsidRDefault="00000000">
            <w:r>
              <w:rPr>
                <w:color w:val="1F2A44"/>
              </w:rPr>
              <w:t>1.0</w:t>
            </w:r>
          </w:p>
        </w:tc>
      </w:tr>
      <w:tr w:rsidR="00BA4AAF" w14:paraId="233FC68A" w14:textId="77777777">
        <w:tc>
          <w:tcPr>
            <w:tcW w:w="3118" w:type="dxa"/>
          </w:tcPr>
          <w:p w14:paraId="2D29E7F8" w14:textId="77777777" w:rsidR="00BA4AAF" w:rsidRDefault="00000000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3BB4D442" w14:textId="77777777" w:rsidR="00BA4AAF" w:rsidRDefault="00000000">
            <w:r>
              <w:rPr>
                <w:color w:val="666666"/>
              </w:rPr>
              <w:t xml:space="preserve">15.07.2026  –  </w:t>
            </w:r>
            <w:r w:rsidR="004C2E11">
              <w:rPr>
                <w:color w:val="666666"/>
              </w:rPr>
              <w:t>31</w:t>
            </w:r>
            <w:r>
              <w:rPr>
                <w:color w:val="666666"/>
              </w:rPr>
              <w:t>.</w:t>
            </w:r>
            <w:r w:rsidR="004C2E11">
              <w:rPr>
                <w:color w:val="666666"/>
              </w:rPr>
              <w:t>07</w:t>
            </w:r>
            <w:r>
              <w:rPr>
                <w:color w:val="666666"/>
              </w:rPr>
              <w:t>.</w:t>
            </w:r>
            <w:r w:rsidR="004C2E11">
              <w:rPr>
                <w:color w:val="666666"/>
              </w:rPr>
              <w:t>2026</w:t>
            </w:r>
          </w:p>
        </w:tc>
      </w:tr>
      <w:tr w:rsidR="00BA4AAF" w14:paraId="30E20975" w14:textId="77777777">
        <w:tc>
          <w:tcPr>
            <w:tcW w:w="3118" w:type="dxa"/>
          </w:tcPr>
          <w:p w14:paraId="60B05873" w14:textId="77777777" w:rsidR="00BA4AAF" w:rsidRDefault="00000000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683E1615" w14:textId="77777777" w:rsidR="00BA4AAF" w:rsidRDefault="004C2E11">
            <w:r>
              <w:rPr>
                <w:color w:val="666666"/>
              </w:rPr>
              <w:t>31.07.2026</w:t>
            </w:r>
          </w:p>
        </w:tc>
      </w:tr>
    </w:tbl>
    <w:p w14:paraId="6A91A192" w14:textId="77777777" w:rsidR="00BA4AAF" w:rsidRDefault="00BA4AAF"/>
    <w:p w14:paraId="6FF05699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72370F62" w14:textId="77777777" w:rsidR="00BA4AAF" w:rsidRDefault="00000000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7"/>
        <w:gridCol w:w="2482"/>
        <w:gridCol w:w="1568"/>
        <w:gridCol w:w="3579"/>
      </w:tblGrid>
      <w:tr w:rsidR="00BA4AAF" w14:paraId="3E1C5CC0" w14:textId="77777777">
        <w:tc>
          <w:tcPr>
            <w:tcW w:w="1247" w:type="dxa"/>
            <w:shd w:val="clear" w:color="auto" w:fill="2B57A6"/>
          </w:tcPr>
          <w:p w14:paraId="455620B5" w14:textId="77777777" w:rsidR="00BA4AAF" w:rsidRDefault="00000000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551" w:type="dxa"/>
            <w:shd w:val="clear" w:color="auto" w:fill="2B57A6"/>
          </w:tcPr>
          <w:p w14:paraId="14318E35" w14:textId="77777777" w:rsidR="00BA4AAF" w:rsidRDefault="00000000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87" w:type="dxa"/>
            <w:shd w:val="clear" w:color="auto" w:fill="2B57A6"/>
          </w:tcPr>
          <w:p w14:paraId="4C29418C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65C47DD6" w14:textId="77777777" w:rsidR="00BA4AAF" w:rsidRDefault="00000000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BA4AAF" w14:paraId="51870B9E" w14:textId="77777777">
        <w:tc>
          <w:tcPr>
            <w:tcW w:w="1247" w:type="dxa"/>
          </w:tcPr>
          <w:p w14:paraId="611EFBB4" w14:textId="77777777" w:rsidR="00BA4AAF" w:rsidRDefault="00000000">
            <w:r>
              <w:rPr>
                <w:b/>
                <w:color w:val="1F2A44"/>
              </w:rPr>
              <w:t>1.0</w:t>
            </w:r>
          </w:p>
        </w:tc>
        <w:tc>
          <w:tcPr>
            <w:tcW w:w="2551" w:type="dxa"/>
          </w:tcPr>
          <w:p w14:paraId="7CAB0CF1" w14:textId="77777777" w:rsidR="00BA4AAF" w:rsidRDefault="00492984">
            <w:r>
              <w:rPr>
                <w:color w:val="666666"/>
              </w:rPr>
              <w:t>15.07.2026 - 31.07.2026</w:t>
            </w:r>
          </w:p>
        </w:tc>
        <w:tc>
          <w:tcPr>
            <w:tcW w:w="1587" w:type="dxa"/>
          </w:tcPr>
          <w:p w14:paraId="491C709D" w14:textId="77777777" w:rsidR="00BA4AAF" w:rsidRDefault="004C2E11">
            <w:r>
              <w:rPr>
                <w:color w:val="666666"/>
              </w:rPr>
              <w:t>31</w:t>
            </w:r>
            <w:r w:rsidR="00492984">
              <w:rPr>
                <w:color w:val="666666"/>
              </w:rPr>
              <w:t>.07.2026</w:t>
            </w:r>
          </w:p>
        </w:tc>
        <w:tc>
          <w:tcPr>
            <w:tcW w:w="3685" w:type="dxa"/>
          </w:tcPr>
          <w:p w14:paraId="631902A3" w14:textId="77777777" w:rsidR="00BA4AAF" w:rsidRDefault="00000000">
            <w:proofErr w:type="spellStart"/>
            <w:r>
              <w:rPr>
                <w:color w:val="1F2A44"/>
              </w:rPr>
              <w:t>Utworzenie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projektu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dokumentacji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szkieletu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aplikacji</w:t>
            </w:r>
            <w:proofErr w:type="spellEnd"/>
            <w:r>
              <w:rPr>
                <w:color w:val="1F2A44"/>
              </w:rPr>
              <w:t xml:space="preserve">. </w:t>
            </w:r>
            <w:proofErr w:type="spellStart"/>
            <w:r>
              <w:rPr>
                <w:color w:val="1F2A44"/>
              </w:rPr>
              <w:t>Pełny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audyt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istniejącego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systemu</w:t>
            </w:r>
            <w:proofErr w:type="spellEnd"/>
            <w:r>
              <w:rPr>
                <w:color w:val="1F2A44"/>
              </w:rPr>
              <w:t xml:space="preserve"> legacy „AMDS CRU” (10 </w:t>
            </w:r>
            <w:proofErr w:type="spellStart"/>
            <w:r>
              <w:rPr>
                <w:color w:val="1F2A44"/>
              </w:rPr>
              <w:t>modułów</w:t>
            </w:r>
            <w:proofErr w:type="spellEnd"/>
            <w:r>
              <w:rPr>
                <w:color w:val="1F2A44"/>
              </w:rPr>
              <w:t xml:space="preserve">, model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 z 34 </w:t>
            </w:r>
            <w:proofErr w:type="spellStart"/>
            <w:r>
              <w:rPr>
                <w:color w:val="1F2A44"/>
              </w:rPr>
              <w:t>polami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komplet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słowników</w:t>
            </w:r>
            <w:proofErr w:type="spellEnd"/>
            <w:r>
              <w:rPr>
                <w:color w:val="1F2A44"/>
              </w:rPr>
              <w:t xml:space="preserve">). </w:t>
            </w:r>
            <w:proofErr w:type="spellStart"/>
            <w:r>
              <w:rPr>
                <w:color w:val="1F2A44"/>
              </w:rPr>
              <w:t>Zbudowany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szkielet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repliki</w:t>
            </w:r>
            <w:proofErr w:type="spellEnd"/>
            <w:r>
              <w:rPr>
                <w:color w:val="1F2A44"/>
              </w:rPr>
              <w:t xml:space="preserve">: </w:t>
            </w:r>
            <w:proofErr w:type="spellStart"/>
            <w:r>
              <w:rPr>
                <w:color w:val="1F2A44"/>
              </w:rPr>
              <w:t>natywne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logowanie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moduł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 (</w:t>
            </w:r>
            <w:proofErr w:type="spellStart"/>
            <w:r>
              <w:rPr>
                <w:color w:val="1F2A44"/>
              </w:rPr>
              <w:t>lista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wyszukiwarka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odwzorowująca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filtry</w:t>
            </w:r>
            <w:proofErr w:type="spellEnd"/>
            <w:r>
              <w:rPr>
                <w:color w:val="1F2A44"/>
              </w:rPr>
              <w:t xml:space="preserve"> legacy, </w:t>
            </w:r>
            <w:proofErr w:type="spellStart"/>
            <w:r>
              <w:rPr>
                <w:color w:val="1F2A44"/>
              </w:rPr>
              <w:t>podgląd</w:t>
            </w:r>
            <w:proofErr w:type="spellEnd"/>
            <w:r>
              <w:rPr>
                <w:color w:val="1F2A44"/>
              </w:rPr>
              <w:t xml:space="preserve"> 34 </w:t>
            </w:r>
            <w:proofErr w:type="spellStart"/>
            <w:r>
              <w:rPr>
                <w:color w:val="1F2A44"/>
              </w:rPr>
              <w:t>pól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wybór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widocznych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kolumn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sygnalizacja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zbliżającego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się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końca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), </w:t>
            </w:r>
            <w:proofErr w:type="spellStart"/>
            <w:r>
              <w:rPr>
                <w:color w:val="1F2A44"/>
              </w:rPr>
              <w:t>moduł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Projekty</w:t>
            </w:r>
            <w:proofErr w:type="spellEnd"/>
            <w:r>
              <w:rPr>
                <w:color w:val="1F2A44"/>
              </w:rPr>
              <w:t xml:space="preserve"> z </w:t>
            </w:r>
            <w:proofErr w:type="spellStart"/>
            <w:r>
              <w:rPr>
                <w:color w:val="1F2A44"/>
              </w:rPr>
              <w:t>obiegiem</w:t>
            </w:r>
            <w:proofErr w:type="spellEnd"/>
            <w:r>
              <w:rPr>
                <w:color w:val="1F2A44"/>
              </w:rPr>
              <w:t xml:space="preserve"> FAU </w:t>
            </w:r>
            <w:proofErr w:type="spellStart"/>
            <w:r>
              <w:rPr>
                <w:color w:val="1F2A44"/>
              </w:rPr>
              <w:t>oraz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warstwa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pośrednia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pliki</w:t>
            </w:r>
            <w:proofErr w:type="spellEnd"/>
            <w:r>
              <w:rPr>
                <w:color w:val="1F2A44"/>
              </w:rPr>
              <w:t xml:space="preserve">. 17.07.2026 </w:t>
            </w:r>
            <w:proofErr w:type="spellStart"/>
            <w:r>
              <w:rPr>
                <w:color w:val="1F2A44"/>
              </w:rPr>
              <w:t>zmiana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kierunku</w:t>
            </w:r>
            <w:proofErr w:type="spellEnd"/>
            <w:r>
              <w:rPr>
                <w:color w:val="1F2A44"/>
              </w:rPr>
              <w:t xml:space="preserve">: </w:t>
            </w:r>
            <w:proofErr w:type="spellStart"/>
            <w:r>
              <w:rPr>
                <w:color w:val="1F2A44"/>
              </w:rPr>
              <w:t>rezygnacja</w:t>
            </w:r>
            <w:proofErr w:type="spellEnd"/>
            <w:r>
              <w:rPr>
                <w:color w:val="1F2A44"/>
              </w:rPr>
              <w:t xml:space="preserve"> z </w:t>
            </w:r>
            <w:proofErr w:type="spellStart"/>
            <w:r>
              <w:rPr>
                <w:color w:val="1F2A44"/>
              </w:rPr>
              <w:t>przepisywania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systemu</w:t>
            </w:r>
            <w:proofErr w:type="spellEnd"/>
            <w:r>
              <w:rPr>
                <w:color w:val="1F2A44"/>
              </w:rPr>
              <w:t xml:space="preserve"> od </w:t>
            </w:r>
            <w:proofErr w:type="spellStart"/>
            <w:r>
              <w:rPr>
                <w:color w:val="1F2A44"/>
              </w:rPr>
              <w:t>zera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rzecz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dołożenia</w:t>
            </w:r>
            <w:proofErr w:type="spellEnd"/>
            <w:r>
              <w:rPr>
                <w:color w:val="1F2A44"/>
              </w:rPr>
              <w:t xml:space="preserve"> do legacy </w:t>
            </w:r>
            <w:proofErr w:type="spellStart"/>
            <w:r>
              <w:rPr>
                <w:color w:val="1F2A44"/>
              </w:rPr>
              <w:t>jednej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funkcji</w:t>
            </w:r>
            <w:proofErr w:type="spellEnd"/>
            <w:r>
              <w:rPr>
                <w:color w:val="1F2A44"/>
              </w:rPr>
              <w:t xml:space="preserve"> — </w:t>
            </w:r>
            <w:proofErr w:type="spellStart"/>
            <w:r>
              <w:rPr>
                <w:color w:val="1F2A44"/>
              </w:rPr>
              <w:t>masowego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podpisywania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umów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przez</w:t>
            </w:r>
            <w:proofErr w:type="spellEnd"/>
            <w:r>
              <w:rPr>
                <w:color w:val="1F2A44"/>
              </w:rPr>
              <w:t xml:space="preserve"> Adobe Acrobat Sign; </w:t>
            </w:r>
            <w:proofErr w:type="spellStart"/>
            <w:r>
              <w:rPr>
                <w:color w:val="1F2A44"/>
              </w:rPr>
              <w:t>zatwierdzona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architektura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hostingu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zasady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bezpiecznego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zapisu</w:t>
            </w:r>
            <w:proofErr w:type="spellEnd"/>
            <w:r>
              <w:rPr>
                <w:color w:val="1F2A44"/>
              </w:rPr>
              <w:t xml:space="preserve"> do </w:t>
            </w:r>
            <w:proofErr w:type="spellStart"/>
            <w:r>
              <w:rPr>
                <w:color w:val="1F2A44"/>
              </w:rPr>
              <w:t>bazy</w:t>
            </w:r>
            <w:proofErr w:type="spellEnd"/>
            <w:r>
              <w:rPr>
                <w:color w:val="1F2A44"/>
              </w:rPr>
              <w:t xml:space="preserve"> legacy </w:t>
            </w:r>
            <w:proofErr w:type="spellStart"/>
            <w:r>
              <w:rPr>
                <w:color w:val="1F2A44"/>
              </w:rPr>
              <w:t>oraz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nowy</w:t>
            </w:r>
            <w:proofErr w:type="spellEnd"/>
            <w:r>
              <w:rPr>
                <w:color w:val="1F2A44"/>
              </w:rPr>
              <w:t xml:space="preserve"> plan </w:t>
            </w:r>
            <w:proofErr w:type="spellStart"/>
            <w:r>
              <w:rPr>
                <w:color w:val="1F2A44"/>
              </w:rPr>
              <w:t>faz</w:t>
            </w:r>
            <w:proofErr w:type="spellEnd"/>
            <w:r>
              <w:rPr>
                <w:color w:val="1F2A44"/>
              </w:rPr>
              <w:t>.</w:t>
            </w:r>
          </w:p>
        </w:tc>
      </w:tr>
    </w:tbl>
    <w:p w14:paraId="44D59586" w14:textId="77777777" w:rsidR="00BA4AAF" w:rsidRDefault="00BA4AAF"/>
    <w:p w14:paraId="50D60973" w14:textId="77777777" w:rsidR="00BA4AAF" w:rsidRDefault="00000000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1.0</w:t>
      </w:r>
    </w:p>
    <w:p w14:paraId="3E355D77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204F6C28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71"/>
        <w:gridCol w:w="6885"/>
      </w:tblGrid>
      <w:tr w:rsidR="00BA4AAF" w14:paraId="4FF8D3B6" w14:textId="77777777">
        <w:tc>
          <w:tcPr>
            <w:tcW w:w="1984" w:type="dxa"/>
            <w:shd w:val="clear" w:color="auto" w:fill="EEF2F8"/>
          </w:tcPr>
          <w:p w14:paraId="21F510C7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1915864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2C9B0972" w14:textId="77777777">
        <w:tc>
          <w:tcPr>
            <w:tcW w:w="1984" w:type="dxa"/>
          </w:tcPr>
          <w:p w14:paraId="17DECFBA" w14:textId="77777777" w:rsidR="00BA4AAF" w:rsidRDefault="00000000">
            <w:r>
              <w:rPr>
                <w:color w:val="666666"/>
              </w:rPr>
              <w:t>Analiza</w:t>
            </w:r>
          </w:p>
        </w:tc>
        <w:tc>
          <w:tcPr>
            <w:tcW w:w="7087" w:type="dxa"/>
          </w:tcPr>
          <w:p w14:paraId="59D3C78B" w14:textId="77777777" w:rsidR="00BA4AAF" w:rsidRDefault="00000000">
            <w:r>
              <w:rPr>
                <w:color w:val="666666"/>
              </w:rPr>
              <w:t xml:space="preserve">Pełny audyt istniejącego systemu legacy „AMDS CRU” (serwer wewnętrzny w Bytomiu) — przejście przez wszystkie dostępne ekrany i spisanie inwentarza: 10 modułów menu, model umowy z 34 polami, komplet słowników (8 typów dokumentu, ok. 34 lokalizacje, ok. 31 rodzajów umowy), routing oraz obieg akceptacji umowy (FAU). Wynik zapisany w osobnym dokumencie audytu. Ograniczenie: konto użyte do audytu ma dostęp wyłącznie do modułów Umowy i Projekty — </w:t>
            </w:r>
            <w:proofErr w:type="spellStart"/>
            <w:r>
              <w:rPr>
                <w:color w:val="666666"/>
              </w:rPr>
              <w:t>pozostałe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osiem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opisano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pośrednio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16F8A5E1" w14:textId="77777777">
        <w:tc>
          <w:tcPr>
            <w:tcW w:w="1984" w:type="dxa"/>
          </w:tcPr>
          <w:p w14:paraId="52C62E1C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17E3BDE5" w14:textId="77777777" w:rsidR="00BA4AAF" w:rsidRDefault="00000000">
            <w:r>
              <w:rPr>
                <w:color w:val="666666"/>
              </w:rPr>
              <w:t xml:space="preserve">Utworzone repozytorium projektu i szkielet aplikacji: Next.js 14 z TypeScriptem, baza PostgreSQL, branding ArcelorMittal (logo, fonty Poppins i Gilroy, paleta kolorów zmierzona z </w:t>
            </w:r>
            <w:proofErr w:type="spellStart"/>
            <w:r>
              <w:rPr>
                <w:color w:val="666666"/>
              </w:rPr>
              <w:t>dostarczonych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materiałów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graficznych</w:t>
            </w:r>
            <w:proofErr w:type="spellEnd"/>
            <w:r>
              <w:rPr>
                <w:color w:val="666666"/>
              </w:rPr>
              <w:t>).</w:t>
            </w:r>
          </w:p>
        </w:tc>
      </w:tr>
      <w:tr w:rsidR="00BA4AAF" w14:paraId="61A6A2DA" w14:textId="77777777">
        <w:tc>
          <w:tcPr>
            <w:tcW w:w="1984" w:type="dxa"/>
          </w:tcPr>
          <w:p w14:paraId="5C00583E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14462282" w14:textId="77777777" w:rsidR="00BA4AAF" w:rsidRDefault="00000000">
            <w:r>
              <w:rPr>
                <w:color w:val="666666"/>
              </w:rPr>
              <w:t xml:space="preserve">Model danych rejestru: umowa (34 pola), projekt, kontrahent, załącznik, użytkownik z rolą oraz dziewięć tabel słownikowych; aneks jest umową dowiązaną do umowy nadrzędnej. Zasada nadrzędna: baza przechowuje wyłącznie metadane, pliki umów nigdy do </w:t>
            </w:r>
            <w:proofErr w:type="spellStart"/>
            <w:r>
              <w:rPr>
                <w:color w:val="666666"/>
              </w:rPr>
              <w:t>niej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trafiają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749FDDE1" w14:textId="77777777">
        <w:tc>
          <w:tcPr>
            <w:tcW w:w="1984" w:type="dxa"/>
          </w:tcPr>
          <w:p w14:paraId="50C265ED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4CCD220B" w14:textId="77777777" w:rsidR="00BA4AAF" w:rsidRDefault="00000000">
            <w:r>
              <w:rPr>
                <w:color w:val="666666"/>
              </w:rPr>
              <w:t xml:space="preserve">Dane startowe przepisane wprost z audytu — komplet słowników legacy plus konto testowe i przykładowe rekordy. Aplikację można uruchomić i obejrzeć bez </w:t>
            </w:r>
            <w:proofErr w:type="spellStart"/>
            <w:r>
              <w:rPr>
                <w:color w:val="666666"/>
              </w:rPr>
              <w:t>dostępu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produkcyjnej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bazy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4F697BB" w14:textId="77777777">
        <w:tc>
          <w:tcPr>
            <w:tcW w:w="1984" w:type="dxa"/>
          </w:tcPr>
          <w:p w14:paraId="340FF16E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62ADE9FE" w14:textId="77777777" w:rsidR="00BA4AAF" w:rsidRDefault="00000000">
            <w:r>
              <w:rPr>
                <w:color w:val="666666"/>
              </w:rPr>
              <w:t xml:space="preserve">Uruchomienie środowiska deweloperskiego jednym poleceniem: konfiguracja, zależności, start bazy, założenie schematu, dane startowe i serwer. Skrypt jest idempotentny — </w:t>
            </w:r>
            <w:proofErr w:type="spellStart"/>
            <w:r>
              <w:rPr>
                <w:color w:val="666666"/>
              </w:rPr>
              <w:t>pomija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kroki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już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wykonane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1AFBB67D" w14:textId="77777777">
        <w:tc>
          <w:tcPr>
            <w:tcW w:w="1984" w:type="dxa"/>
          </w:tcPr>
          <w:p w14:paraId="4327AE56" w14:textId="77777777" w:rsidR="00BA4AAF" w:rsidRDefault="00000000">
            <w:r>
              <w:rPr>
                <w:color w:val="666666"/>
              </w:rPr>
              <w:t>Poprawka błędu</w:t>
            </w:r>
          </w:p>
        </w:tc>
        <w:tc>
          <w:tcPr>
            <w:tcW w:w="7087" w:type="dxa"/>
          </w:tcPr>
          <w:p w14:paraId="6457E511" w14:textId="77777777" w:rsidR="00BA4AAF" w:rsidRDefault="00000000">
            <w:r>
              <w:rPr>
                <w:color w:val="666666"/>
              </w:rPr>
              <w:t xml:space="preserve">Skrypt startowy przerywał się na nieszkodliwych ostrzeżeniach narzędzi bazy danych, mimo że kończyły się one powodzeniem — konsola Windows traktowała każdą linię ostrzeżenia jak błąd krytyczny. Naprawione: przygotowanie środowiska przechodzi w jednym przebiegu, zweryfikowane od </w:t>
            </w:r>
            <w:proofErr w:type="spellStart"/>
            <w:r>
              <w:rPr>
                <w:color w:val="666666"/>
              </w:rPr>
              <w:t>początku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końca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7C91E3D6" w14:textId="77777777">
        <w:tc>
          <w:tcPr>
            <w:tcW w:w="1984" w:type="dxa"/>
          </w:tcPr>
          <w:p w14:paraId="45948FCF" w14:textId="77777777" w:rsidR="00BA4AAF" w:rsidRDefault="00000000">
            <w:r>
              <w:rPr>
                <w:color w:val="666666"/>
              </w:rPr>
              <w:t>Zmiana kierunku</w:t>
            </w:r>
          </w:p>
        </w:tc>
        <w:tc>
          <w:tcPr>
            <w:tcW w:w="7087" w:type="dxa"/>
          </w:tcPr>
          <w:p w14:paraId="6F5DCD17" w14:textId="77777777" w:rsidR="00BA4AAF" w:rsidRDefault="00000000">
            <w:r>
              <w:rPr>
                <w:color w:val="666666"/>
              </w:rPr>
              <w:t xml:space="preserve">PIVOT 17.07.2026 — porzucono budowę systemu od zera (własna baza w chmurze plus wierne odtworzenie legacy). Nowy kierunek: istniejący system zostaje nietknięty, a my dokładamy do niego jedną funkcję — masowe elektroniczne podpisywanie umów przez Adobe Acrobat Sign, pracujące wprost na danych legacy. Powód: znacznie krótsza droga do realnej wartości dla użytkownika i brak ryzyka migracji około 20 tys. </w:t>
            </w:r>
            <w:proofErr w:type="spellStart"/>
            <w:r>
              <w:rPr>
                <w:color w:val="666666"/>
              </w:rPr>
              <w:t>rekordów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historycznych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C3A2861" w14:textId="77777777">
        <w:tc>
          <w:tcPr>
            <w:tcW w:w="1984" w:type="dxa"/>
          </w:tcPr>
          <w:p w14:paraId="03DE8BF2" w14:textId="77777777" w:rsidR="00BA4AAF" w:rsidRDefault="00000000">
            <w:r>
              <w:rPr>
                <w:color w:val="666666"/>
              </w:rPr>
              <w:t>Decyzja</w:t>
            </w:r>
          </w:p>
        </w:tc>
        <w:tc>
          <w:tcPr>
            <w:tcW w:w="7087" w:type="dxa"/>
          </w:tcPr>
          <w:p w14:paraId="0BAB787E" w14:textId="77777777" w:rsidR="00BA4AAF" w:rsidRDefault="00000000">
            <w:r>
              <w:rPr>
                <w:color w:val="666666"/>
              </w:rPr>
              <w:t xml:space="preserve">Zatwierdzona architektura po zmianie kierunku: rozwój na maszynie wirtualnej, produkcyjnie na wewnętrznym serwerze w Katowicach w kontenerach, z połączeniem do bazy i plików w Bytomiu po sieci firmowej. Publicznie w internecie wystawiony wyłącznie jeden adres HTTPS — strona podpisu i odbiór podpisanego dokumentu z Adobe. Świadomie odrzucono trzymanie aplikacji na prywatnym komputerze: to dokładnie ten model, który doprowadził do dzisiejszej </w:t>
            </w:r>
            <w:proofErr w:type="spellStart"/>
            <w:r>
              <w:rPr>
                <w:color w:val="666666"/>
              </w:rPr>
              <w:t>sytuacji</w:t>
            </w:r>
            <w:proofErr w:type="spellEnd"/>
            <w:r>
              <w:rPr>
                <w:color w:val="666666"/>
              </w:rPr>
              <w:t xml:space="preserve"> z </w:t>
            </w:r>
            <w:proofErr w:type="spellStart"/>
            <w:r>
              <w:rPr>
                <w:color w:val="666666"/>
              </w:rPr>
              <w:t>systemem</w:t>
            </w:r>
            <w:proofErr w:type="spellEnd"/>
            <w:r>
              <w:rPr>
                <w:color w:val="666666"/>
              </w:rPr>
              <w:t xml:space="preserve"> legacy.</w:t>
            </w:r>
          </w:p>
        </w:tc>
      </w:tr>
      <w:tr w:rsidR="00BA4AAF" w14:paraId="3C09C0AC" w14:textId="77777777">
        <w:tc>
          <w:tcPr>
            <w:tcW w:w="1984" w:type="dxa"/>
          </w:tcPr>
          <w:p w14:paraId="6E2BEA53" w14:textId="77777777" w:rsidR="00BA4AAF" w:rsidRDefault="00000000">
            <w:r>
              <w:rPr>
                <w:color w:val="666666"/>
              </w:rPr>
              <w:t>Bezpieczeństwo</w:t>
            </w:r>
          </w:p>
        </w:tc>
        <w:tc>
          <w:tcPr>
            <w:tcW w:w="7087" w:type="dxa"/>
          </w:tcPr>
          <w:p w14:paraId="25C9713C" w14:textId="77777777" w:rsidR="00BA4AAF" w:rsidRDefault="00000000">
            <w:r>
              <w:rPr>
                <w:color w:val="666666"/>
              </w:rPr>
              <w:t xml:space="preserve">Ustalone zasady pracy na produkcyjnej bazie legacy: wszystkie zapisy w transakcjach, pola audytowe uzupełniane zgodnie z konwencją legacy, start od najwęższego możliwego zapisu, własna tabela na stan podpisów </w:t>
            </w:r>
            <w:r>
              <w:rPr>
                <w:color w:val="666666"/>
              </w:rPr>
              <w:lastRenderedPageBreak/>
              <w:t xml:space="preserve">zamiast rozlewania się po tabelach legacy, kopia dokumentu przed nadpisaniem wersją podpisaną. Dane dostępowe i klucze wyłącznie w </w:t>
            </w:r>
            <w:proofErr w:type="spellStart"/>
            <w:r>
              <w:rPr>
                <w:color w:val="666666"/>
              </w:rPr>
              <w:t>pliku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konfiguracyjnym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poza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kodem</w:t>
            </w:r>
            <w:proofErr w:type="spellEnd"/>
            <w:r>
              <w:rPr>
                <w:color w:val="666666"/>
              </w:rPr>
              <w:t>.</w:t>
            </w:r>
          </w:p>
        </w:tc>
      </w:tr>
    </w:tbl>
    <w:p w14:paraId="5D3150F6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Rejestr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umów</w:t>
      </w:r>
      <w:proofErr w:type="spellEnd"/>
    </w:p>
    <w:p w14:paraId="47FBDC56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Dodawanie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wyszukiwanie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filtrowanie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umów</w:t>
      </w:r>
      <w:proofErr w:type="spellEnd"/>
      <w:r>
        <w:rPr>
          <w:i/>
          <w:color w:val="666666"/>
          <w:sz w:val="18"/>
        </w:rPr>
        <w:t xml:space="preserve">; </w:t>
      </w:r>
      <w:proofErr w:type="spellStart"/>
      <w:r>
        <w:rPr>
          <w:i/>
          <w:color w:val="666666"/>
          <w:sz w:val="18"/>
        </w:rPr>
        <w:t>metadane</w:t>
      </w:r>
      <w:proofErr w:type="spellEnd"/>
      <w:r>
        <w:rPr>
          <w:i/>
          <w:color w:val="666666"/>
          <w:sz w:val="18"/>
        </w:rPr>
        <w:t xml:space="preserve">, statusy, </w:t>
      </w:r>
      <w:proofErr w:type="spellStart"/>
      <w:r>
        <w:rPr>
          <w:i/>
          <w:color w:val="666666"/>
          <w:sz w:val="18"/>
        </w:rPr>
        <w:t>powiązania</w:t>
      </w:r>
      <w:proofErr w:type="spellEnd"/>
      <w:r>
        <w:rPr>
          <w:i/>
          <w:color w:val="666666"/>
          <w:sz w:val="18"/>
        </w:rPr>
        <w:t xml:space="preserve"> z </w:t>
      </w:r>
      <w:proofErr w:type="spellStart"/>
      <w:r>
        <w:rPr>
          <w:i/>
          <w:color w:val="666666"/>
          <w:sz w:val="18"/>
        </w:rPr>
        <w:t>załącznikami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4"/>
        <w:gridCol w:w="6902"/>
      </w:tblGrid>
      <w:tr w:rsidR="00BA4AAF" w14:paraId="4078E0D1" w14:textId="77777777">
        <w:tc>
          <w:tcPr>
            <w:tcW w:w="1984" w:type="dxa"/>
            <w:shd w:val="clear" w:color="auto" w:fill="EEF2F8"/>
          </w:tcPr>
          <w:p w14:paraId="2440A975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FB1BBA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14A937FB" w14:textId="77777777">
        <w:tc>
          <w:tcPr>
            <w:tcW w:w="1984" w:type="dxa"/>
          </w:tcPr>
          <w:p w14:paraId="78558205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036A00B1" w14:textId="77777777" w:rsidR="00BA4AAF" w:rsidRDefault="00000000">
            <w:r>
              <w:rPr>
                <w:color w:val="666666"/>
              </w:rPr>
              <w:t xml:space="preserve">Moduł Umowy — lista czytana wyłącznie z bazy metadanych, z wyszukiwarką odwzorowującą komplet filtrów legacy (identyfikator, typ dokumentu, numer umowy, status, spółka, lokalizacja, kontrahent, właściciel, rodzaj i charakter umowy, NIP, data zakończenia, podmiot powiązany, OBSC) oraz paginacją od 10 do 500 </w:t>
            </w:r>
            <w:proofErr w:type="spellStart"/>
            <w:r>
              <w:rPr>
                <w:color w:val="666666"/>
              </w:rPr>
              <w:t>rekordów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stronę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167C4FA0" w14:textId="77777777">
        <w:tc>
          <w:tcPr>
            <w:tcW w:w="1984" w:type="dxa"/>
          </w:tcPr>
          <w:p w14:paraId="3AD55C12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639E7BF" w14:textId="77777777" w:rsidR="00BA4AAF" w:rsidRDefault="00000000">
            <w:r>
              <w:rPr>
                <w:color w:val="666666"/>
              </w:rPr>
              <w:t xml:space="preserve">Podgląd umowy — pełny model 34 pól w układzie sekcyjnym (identyfikacja, klasyfikacja, warunki, kontrahenci, cechy, uwagi, aneksy, załączniki, audyt) zamiast jednej długiej listy </w:t>
            </w:r>
            <w:proofErr w:type="spellStart"/>
            <w:r>
              <w:rPr>
                <w:color w:val="666666"/>
              </w:rPr>
              <w:t>pól</w:t>
            </w:r>
            <w:proofErr w:type="spellEnd"/>
            <w:r>
              <w:rPr>
                <w:color w:val="666666"/>
              </w:rPr>
              <w:t xml:space="preserve"> jak w legacy.</w:t>
            </w:r>
          </w:p>
        </w:tc>
      </w:tr>
      <w:tr w:rsidR="00BA4AAF" w14:paraId="3DBC58F9" w14:textId="77777777">
        <w:tc>
          <w:tcPr>
            <w:tcW w:w="1984" w:type="dxa"/>
          </w:tcPr>
          <w:p w14:paraId="3A075A4F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4720507B" w14:textId="77777777" w:rsidR="00BA4AAF" w:rsidRDefault="00000000">
            <w:r>
              <w:rPr>
                <w:color w:val="666666"/>
              </w:rPr>
              <w:t xml:space="preserve">Wybór widocznych kolumn tabeli umów — panel otwierany przyciskiem „Kolumny” albo prawym przyciskiem myszy na tabeli. Ustawienie zapamiętuje się w przeglądarce użytkownika, kolumna </w:t>
            </w:r>
            <w:proofErr w:type="spellStart"/>
            <w:r>
              <w:rPr>
                <w:color w:val="666666"/>
              </w:rPr>
              <w:t>identyfikatora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pozostaje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zawsze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widoczna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023F8783" w14:textId="77777777">
        <w:tc>
          <w:tcPr>
            <w:tcW w:w="1984" w:type="dxa"/>
          </w:tcPr>
          <w:p w14:paraId="7DAE1D92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1BB1776E" w14:textId="77777777" w:rsidR="00BA4AAF" w:rsidRDefault="00000000">
            <w:r>
              <w:rPr>
                <w:color w:val="666666"/>
              </w:rPr>
              <w:t xml:space="preserve">Aneksy i załączniki widoczne wprost na liście: umowa będąca aneksem jest oznaczona, umowa z aneksami pokazuje ich liczbę, </w:t>
            </w:r>
            <w:proofErr w:type="spellStart"/>
            <w:r>
              <w:rPr>
                <w:color w:val="666666"/>
              </w:rPr>
              <w:t>obok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liczba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podpiętych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plików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668B7576" w14:textId="77777777">
        <w:tc>
          <w:tcPr>
            <w:tcW w:w="1984" w:type="dxa"/>
          </w:tcPr>
          <w:p w14:paraId="5A3E6A2E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77C4C65" w14:textId="77777777" w:rsidR="00BA4AAF" w:rsidRDefault="00000000">
            <w:r>
              <w:rPr>
                <w:color w:val="666666"/>
              </w:rPr>
              <w:t xml:space="preserve">Moduł Projekty — encja przed-umowna, czyli proces dojścia do podpisania umowy. Lista z filtrami, własny cykl statusów (w toku, wysłane do podpisu, obieg FAU, zakończony, anulowany) oraz kolumny obiegu, których nie ma przy umowach: ostatnia notatka, opiniujący, data </w:t>
            </w:r>
            <w:proofErr w:type="spellStart"/>
            <w:r>
              <w:rPr>
                <w:color w:val="666666"/>
              </w:rPr>
              <w:t>wysłania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podpisu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76A6D75C" w14:textId="77777777">
        <w:tc>
          <w:tcPr>
            <w:tcW w:w="1984" w:type="dxa"/>
          </w:tcPr>
          <w:p w14:paraId="0F26279B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45CA22D3" w14:textId="77777777" w:rsidR="00BA4AAF" w:rsidRDefault="00000000">
            <w:r>
              <w:rPr>
                <w:color w:val="666666"/>
              </w:rPr>
              <w:t xml:space="preserve">Podgląd projektu z dowiązaniem do umów, sekcjami Uwagi i Notatki oraz danymi audytowymi co do sekundy. Przyciski obiegu FAU odwzorowane wizualnie, ale świadomie nieaktywne — w legacy wywołują żywe akcje (generowanie PDF, wysyłka pytania), których nie da się odtworzyć bez dostępu do </w:t>
            </w:r>
            <w:proofErr w:type="spellStart"/>
            <w:r>
              <w:rPr>
                <w:color w:val="666666"/>
              </w:rPr>
              <w:t>kodu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schematu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bazy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381F0530" w14:textId="77777777">
        <w:tc>
          <w:tcPr>
            <w:tcW w:w="1984" w:type="dxa"/>
          </w:tcPr>
          <w:p w14:paraId="79A0D509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A19BAC6" w14:textId="77777777" w:rsidR="00BA4AAF" w:rsidRDefault="00000000">
            <w:r>
              <w:rPr>
                <w:color w:val="666666"/>
              </w:rPr>
              <w:t xml:space="preserve">Powłoka aplikacji odwzorowuje legacy: nagłówek „AMDS CRU”, przełącznik języka PL/EN i menu 10 modułów. Pozostałe osiem modułów (Dział ryzyka, Supply chain, Kontrahenci, Grupy, Lokalizacja dostępy, Dostępy, Raporty, Mailing) jest w nawigacji jako wygaszone pozycje „moduł w budowie”. Przy okazji poprawiono błąd legacy, którego nie odtwarzamy: tam przełącznik PL </w:t>
            </w:r>
            <w:proofErr w:type="spellStart"/>
            <w:r>
              <w:rPr>
                <w:color w:val="666666"/>
              </w:rPr>
              <w:t>prowadził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wersji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angielskiej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5ACBE829" w14:textId="77777777">
        <w:tc>
          <w:tcPr>
            <w:tcW w:w="1984" w:type="dxa"/>
          </w:tcPr>
          <w:p w14:paraId="1916D250" w14:textId="77777777" w:rsidR="00BA4AAF" w:rsidRDefault="00000000">
            <w:r>
              <w:rPr>
                <w:color w:val="666666"/>
              </w:rPr>
              <w:t>Poprawka błędu</w:t>
            </w:r>
          </w:p>
        </w:tc>
        <w:tc>
          <w:tcPr>
            <w:tcW w:w="7087" w:type="dxa"/>
          </w:tcPr>
          <w:p w14:paraId="1B8F12AB" w14:textId="77777777" w:rsidR="00BA4AAF" w:rsidRDefault="00000000">
            <w:r>
              <w:rPr>
                <w:color w:val="666666"/>
              </w:rPr>
              <w:t xml:space="preserve">Tabela umów wymuszała poziome przewijanie i ucinała treść przy komplecie kolumn. Zagęszczono wiersze i włączono zawijanie tekstu — pełna treść pola jest widoczna bez przewijania w bok. Poprawiono też przeniesioną z legacy literówkę w </w:t>
            </w:r>
            <w:proofErr w:type="spellStart"/>
            <w:r>
              <w:rPr>
                <w:color w:val="666666"/>
              </w:rPr>
              <w:t>nagłówku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kolumny</w:t>
            </w:r>
            <w:proofErr w:type="spellEnd"/>
            <w:r>
              <w:rPr>
                <w:color w:val="666666"/>
              </w:rPr>
              <w:t xml:space="preserve"> „</w:t>
            </w:r>
            <w:proofErr w:type="spellStart"/>
            <w:r>
              <w:rPr>
                <w:color w:val="666666"/>
              </w:rPr>
              <w:t>Buissnesline</w:t>
            </w:r>
            <w:proofErr w:type="spellEnd"/>
            <w:r>
              <w:rPr>
                <w:color w:val="666666"/>
              </w:rPr>
              <w:t>”.</w:t>
            </w:r>
          </w:p>
        </w:tc>
      </w:tr>
    </w:tbl>
    <w:p w14:paraId="5B965604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Kalendarz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gwarancji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przypomnienia</w:t>
      </w:r>
      <w:proofErr w:type="spellEnd"/>
    </w:p>
    <w:p w14:paraId="316ED196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Terminy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gwarancji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przypisanie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osoby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odpowiedzialnej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harmonogram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treść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przypomnień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7A255174" w14:textId="77777777">
        <w:tc>
          <w:tcPr>
            <w:tcW w:w="1984" w:type="dxa"/>
            <w:shd w:val="clear" w:color="auto" w:fill="EEF2F8"/>
          </w:tcPr>
          <w:p w14:paraId="036B442F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452366A3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079B8AE3" w14:textId="77777777">
        <w:tc>
          <w:tcPr>
            <w:tcW w:w="1984" w:type="dxa"/>
          </w:tcPr>
          <w:p w14:paraId="04B2D1F8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5B2DD043" w14:textId="77777777" w:rsidR="00BA4AAF" w:rsidRDefault="00000000">
            <w:r>
              <w:rPr>
                <w:color w:val="666666"/>
              </w:rPr>
              <w:t xml:space="preserve">Wycofano pojęcie osobnego „okresu gwarancji”. Przypomnienie dotyczy </w:t>
            </w:r>
            <w:r>
              <w:rPr>
                <w:color w:val="666666"/>
              </w:rPr>
              <w:lastRenderedPageBreak/>
              <w:t xml:space="preserve">wprost daty zakończenia umowy i decyzji, czy umowa ma zostać zakończona, czy odnowiona — w rejestrze nie ma </w:t>
            </w:r>
            <w:proofErr w:type="spellStart"/>
            <w:r>
              <w:rPr>
                <w:color w:val="666666"/>
              </w:rPr>
              <w:t>osobnego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okresu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gwarancyjnego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0375DF0" w14:textId="77777777">
        <w:tc>
          <w:tcPr>
            <w:tcW w:w="1984" w:type="dxa"/>
          </w:tcPr>
          <w:p w14:paraId="752BD332" w14:textId="77777777" w:rsidR="00BA4AAF" w:rsidRDefault="00000000">
            <w:r>
              <w:rPr>
                <w:color w:val="666666"/>
              </w:rPr>
              <w:lastRenderedPageBreak/>
              <w:t>Nowa funkcja</w:t>
            </w:r>
          </w:p>
        </w:tc>
        <w:tc>
          <w:tcPr>
            <w:tcW w:w="7087" w:type="dxa"/>
          </w:tcPr>
          <w:p w14:paraId="2D520FDD" w14:textId="77777777" w:rsidR="00BA4AAF" w:rsidRDefault="00000000">
            <w:r>
              <w:rPr>
                <w:color w:val="666666"/>
              </w:rPr>
              <w:t xml:space="preserve">Sygnalizacja zbliżającego się końca umowy na liście: do 30 dni oznaczenie czerwone, do 90 dni bursztynowe, po terminie wyraźna etykieta „po terminie”. Umowy ze statusem zakończonym nie są podświetlane. Działa od razu, bez wysyłki maili — właściciel umowy widzi zagrożone </w:t>
            </w:r>
            <w:proofErr w:type="spellStart"/>
            <w:r>
              <w:rPr>
                <w:color w:val="666666"/>
              </w:rPr>
              <w:t>pozycje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skanując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listę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wzrokiem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69DC2F89" w14:textId="77777777">
        <w:tc>
          <w:tcPr>
            <w:tcW w:w="1984" w:type="dxa"/>
          </w:tcPr>
          <w:p w14:paraId="271B930F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67E57C3D" w14:textId="77777777" w:rsidR="00BA4AAF" w:rsidRDefault="00000000">
            <w:r>
              <w:rPr>
                <w:color w:val="666666"/>
              </w:rPr>
              <w:t xml:space="preserve">Kanał powiadomień ograniczony do samego e-maila (odrzucono Teams), wysyłka z </w:t>
            </w:r>
            <w:proofErr w:type="spellStart"/>
            <w:r>
              <w:rPr>
                <w:color w:val="666666"/>
              </w:rPr>
              <w:t>jednego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dedykowanego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adresu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01A26331" w14:textId="77777777">
        <w:tc>
          <w:tcPr>
            <w:tcW w:w="1984" w:type="dxa"/>
          </w:tcPr>
          <w:p w14:paraId="3F1892E1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2CC7A219" w14:textId="77777777" w:rsidR="00BA4AAF" w:rsidRDefault="00000000">
            <w:r>
              <w:rPr>
                <w:color w:val="666666"/>
              </w:rPr>
              <w:t xml:space="preserve">Automatyczna wysyłka przypomnień e-mail wypadła z bieżącego zakresu po zmianie kierunku z 17.07.2026. Temat wraca jako możliwe rozszerzenie po </w:t>
            </w:r>
            <w:proofErr w:type="spellStart"/>
            <w:r>
              <w:rPr>
                <w:color w:val="666666"/>
              </w:rPr>
              <w:t>uruchomieniu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podpisów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elektronicznych</w:t>
            </w:r>
            <w:proofErr w:type="spellEnd"/>
            <w:r>
              <w:rPr>
                <w:color w:val="666666"/>
              </w:rPr>
              <w:t>.</w:t>
            </w:r>
          </w:p>
        </w:tc>
      </w:tr>
    </w:tbl>
    <w:p w14:paraId="4DC3F490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Integracja</w:t>
      </w:r>
      <w:proofErr w:type="spellEnd"/>
      <w:r>
        <w:rPr>
          <w:b/>
          <w:color w:val="2B57A6"/>
          <w:sz w:val="26"/>
        </w:rPr>
        <w:t xml:space="preserve"> SharePoint</w:t>
      </w:r>
    </w:p>
    <w:p w14:paraId="718A2721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Przechowywanie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podpinanie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wersjonowanie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załączników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umów</w:t>
      </w:r>
      <w:proofErr w:type="spellEnd"/>
      <w:r>
        <w:rPr>
          <w:i/>
          <w:color w:val="666666"/>
          <w:sz w:val="18"/>
        </w:rPr>
        <w:t xml:space="preserve"> w SharePoint.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2"/>
        <w:gridCol w:w="6904"/>
      </w:tblGrid>
      <w:tr w:rsidR="00BA4AAF" w14:paraId="39C2F047" w14:textId="77777777">
        <w:tc>
          <w:tcPr>
            <w:tcW w:w="1984" w:type="dxa"/>
            <w:shd w:val="clear" w:color="auto" w:fill="EEF2F8"/>
          </w:tcPr>
          <w:p w14:paraId="5C0C1B17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778362B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5DC27D5B" w14:textId="77777777">
        <w:tc>
          <w:tcPr>
            <w:tcW w:w="1984" w:type="dxa"/>
          </w:tcPr>
          <w:p w14:paraId="0688B9C6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464B9C93" w14:textId="77777777" w:rsidR="00BA4AAF" w:rsidRDefault="00000000">
            <w:r>
              <w:rPr>
                <w:color w:val="666666"/>
              </w:rPr>
              <w:t xml:space="preserve">SharePoint przestał być przesądzonym miejscem na pliki umów — użytkownicy zgłaszają, że bywa wolny i kapryśny, a firma równolegle rozmawia z AWS. Dokumenty (bieżące i historyczne) leżą dziś na fizycznym serwerze w Bytomiu i to on jest </w:t>
            </w:r>
            <w:proofErr w:type="spellStart"/>
            <w:r>
              <w:rPr>
                <w:color w:val="666666"/>
              </w:rPr>
              <w:t>punktem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wyjścia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dla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aplikacji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03A02D3" w14:textId="77777777">
        <w:tc>
          <w:tcPr>
            <w:tcW w:w="1984" w:type="dxa"/>
          </w:tcPr>
          <w:p w14:paraId="094FF09E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5ACE87BB" w14:textId="77777777" w:rsidR="00BA4AAF" w:rsidRDefault="00000000">
            <w:r>
              <w:rPr>
                <w:color w:val="666666"/>
              </w:rPr>
              <w:t xml:space="preserve">Warstwa pośrednia na pliki: aplikacja nie zna fizycznej lokalizacji dokumentów, odwołuje się wyłącznie do klucza pliku. Zmiana źródła (serwer w Bytomiu, SharePoint, chmura) nie wymaga przebudowy interfejsu ani bazy — zmienia się jedna pozycja konfiguracji. Na czas developmentu działa adapter </w:t>
            </w:r>
            <w:proofErr w:type="spellStart"/>
            <w:r>
              <w:rPr>
                <w:color w:val="666666"/>
              </w:rPr>
              <w:t>lokalny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udający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serwer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plików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29C128E" w14:textId="77777777">
        <w:tc>
          <w:tcPr>
            <w:tcW w:w="1984" w:type="dxa"/>
          </w:tcPr>
          <w:p w14:paraId="0C8B3617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53A6D73D" w14:textId="77777777" w:rsidR="00BA4AAF" w:rsidRDefault="00000000">
            <w:r>
              <w:rPr>
                <w:color w:val="666666"/>
              </w:rPr>
              <w:t xml:space="preserve">Lista umów nigdy nie odpytuje magazynu plików przy wyświetlaniu wierszy — dokument pobierany jest dopiero na żądanie. Dzięki temu skala rzędu 20 tys. rekordów nie </w:t>
            </w:r>
            <w:proofErr w:type="spellStart"/>
            <w:r>
              <w:rPr>
                <w:color w:val="666666"/>
              </w:rPr>
              <w:t>wpływa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płynność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listy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161EC73D" w14:textId="77777777">
        <w:tc>
          <w:tcPr>
            <w:tcW w:w="1984" w:type="dxa"/>
          </w:tcPr>
          <w:p w14:paraId="7880B1CA" w14:textId="77777777" w:rsidR="00BA4AAF" w:rsidRDefault="00000000">
            <w:r>
              <w:rPr>
                <w:color w:val="666666"/>
              </w:rPr>
              <w:t>Zmiana kierunku</w:t>
            </w:r>
          </w:p>
        </w:tc>
        <w:tc>
          <w:tcPr>
            <w:tcW w:w="7087" w:type="dxa"/>
          </w:tcPr>
          <w:p w14:paraId="7C319B46" w14:textId="77777777" w:rsidR="00BA4AAF" w:rsidRDefault="00000000">
            <w:r>
              <w:rPr>
                <w:color w:val="666666"/>
              </w:rPr>
              <w:t xml:space="preserve">Po zmianie kierunku z 17.07.2026 rola magazynu plików jest inna: podpisany dokument wracający z Adobe nadpisuje oryginał w Bytomiu, z zachowaniem kopii sprzed podpisu i nadpisaniem w </w:t>
            </w:r>
            <w:proofErr w:type="spellStart"/>
            <w:r>
              <w:rPr>
                <w:color w:val="666666"/>
              </w:rPr>
              <w:t>jednej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niepodzielnej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operacji</w:t>
            </w:r>
            <w:proofErr w:type="spellEnd"/>
            <w:r>
              <w:rPr>
                <w:color w:val="666666"/>
              </w:rPr>
              <w:t>.</w:t>
            </w:r>
          </w:p>
        </w:tc>
      </w:tr>
    </w:tbl>
    <w:p w14:paraId="35CE3DE9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Logowanie</w:t>
      </w:r>
      <w:proofErr w:type="spellEnd"/>
      <w:r>
        <w:rPr>
          <w:b/>
          <w:color w:val="2B57A6"/>
          <w:sz w:val="26"/>
        </w:rPr>
        <w:t xml:space="preserve"> i </w:t>
      </w:r>
      <w:proofErr w:type="spellStart"/>
      <w:r>
        <w:rPr>
          <w:b/>
          <w:color w:val="2B57A6"/>
          <w:sz w:val="26"/>
        </w:rPr>
        <w:t>uprawnienia</w:t>
      </w:r>
      <w:proofErr w:type="spellEnd"/>
    </w:p>
    <w:p w14:paraId="4429E9D0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 SSO </w:t>
      </w:r>
      <w:proofErr w:type="spellStart"/>
      <w:r>
        <w:rPr>
          <w:i/>
          <w:color w:val="666666"/>
          <w:sz w:val="18"/>
        </w:rPr>
        <w:t>przez</w:t>
      </w:r>
      <w:proofErr w:type="spellEnd"/>
      <w:r>
        <w:rPr>
          <w:i/>
          <w:color w:val="666666"/>
          <w:sz w:val="18"/>
        </w:rPr>
        <w:t xml:space="preserve"> Entra ID, role </w:t>
      </w:r>
      <w:proofErr w:type="spellStart"/>
      <w:r>
        <w:rPr>
          <w:i/>
          <w:color w:val="666666"/>
          <w:sz w:val="18"/>
        </w:rPr>
        <w:t>dostępu</w:t>
      </w:r>
      <w:proofErr w:type="spellEnd"/>
      <w:r>
        <w:rPr>
          <w:i/>
          <w:color w:val="666666"/>
          <w:sz w:val="18"/>
        </w:rPr>
        <w:t xml:space="preserve"> (administrator / </w:t>
      </w:r>
      <w:proofErr w:type="spellStart"/>
      <w:r>
        <w:rPr>
          <w:i/>
          <w:color w:val="666666"/>
          <w:sz w:val="18"/>
        </w:rPr>
        <w:t>edytor</w:t>
      </w:r>
      <w:proofErr w:type="spellEnd"/>
      <w:r>
        <w:rPr>
          <w:i/>
          <w:color w:val="666666"/>
          <w:sz w:val="18"/>
        </w:rPr>
        <w:t xml:space="preserve"> / </w:t>
      </w:r>
      <w:proofErr w:type="spellStart"/>
      <w:r>
        <w:rPr>
          <w:i/>
          <w:color w:val="666666"/>
          <w:sz w:val="18"/>
        </w:rPr>
        <w:t>przeglądający</w:t>
      </w:r>
      <w:proofErr w:type="spellEnd"/>
      <w:r>
        <w:rPr>
          <w:i/>
          <w:color w:val="666666"/>
          <w:sz w:val="18"/>
        </w:rPr>
        <w:t>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4"/>
        <w:gridCol w:w="6902"/>
      </w:tblGrid>
      <w:tr w:rsidR="00BA4AAF" w14:paraId="58206516" w14:textId="77777777">
        <w:tc>
          <w:tcPr>
            <w:tcW w:w="1984" w:type="dxa"/>
            <w:shd w:val="clear" w:color="auto" w:fill="EEF2F8"/>
          </w:tcPr>
          <w:p w14:paraId="16FBA60F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4F1E4A9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075331DE" w14:textId="77777777">
        <w:tc>
          <w:tcPr>
            <w:tcW w:w="1984" w:type="dxa"/>
          </w:tcPr>
          <w:p w14:paraId="6DD2DBD9" w14:textId="77777777" w:rsidR="00BA4AAF" w:rsidRDefault="00424DFD">
            <w:r>
              <w:t>Poprawka błędu</w:t>
            </w:r>
          </w:p>
        </w:tc>
        <w:tc>
          <w:tcPr>
            <w:tcW w:w="7087" w:type="dxa"/>
          </w:tcPr>
          <w:p w14:paraId="4D491263" w14:textId="77777777" w:rsidR="00BA4AAF" w:rsidRDefault="00000000">
            <w:r>
              <w:rPr>
                <w:color w:val="666666"/>
              </w:rPr>
              <w:t>Skorygowano błędne założenie planu: logowanie do legacy NIE idzie przez firmowe konto Microsoft (Entra ID SSO). Audyt wykazał własny formularz login i hasło, własną tabelę użytkowników oraz brak jakiegokolwiek przekierowania do Microsoft. Konsekwencja: nie zakładamy już, że zgłoszenie do IT „</w:t>
            </w:r>
            <w:proofErr w:type="spellStart"/>
            <w:r>
              <w:rPr>
                <w:color w:val="666666"/>
              </w:rPr>
              <w:t>przy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okazji</w:t>
            </w:r>
            <w:proofErr w:type="spellEnd"/>
            <w:r>
              <w:rPr>
                <w:color w:val="666666"/>
              </w:rPr>
              <w:t xml:space="preserve">” </w:t>
            </w:r>
            <w:proofErr w:type="spellStart"/>
            <w:r>
              <w:rPr>
                <w:color w:val="666666"/>
              </w:rPr>
              <w:t>załatwia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logowanie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6F271721" w14:textId="77777777">
        <w:tc>
          <w:tcPr>
            <w:tcW w:w="1984" w:type="dxa"/>
          </w:tcPr>
          <w:p w14:paraId="1DACB338" w14:textId="77777777" w:rsidR="00BA4AAF" w:rsidRDefault="00424DFD">
            <w:r>
              <w:t>Nowa funkcja</w:t>
            </w:r>
          </w:p>
        </w:tc>
        <w:tc>
          <w:tcPr>
            <w:tcW w:w="7087" w:type="dxa"/>
          </w:tcPr>
          <w:p w14:paraId="05642D36" w14:textId="77777777" w:rsidR="00BA4AAF" w:rsidRDefault="00000000">
            <w:r>
              <w:rPr>
                <w:color w:val="666666"/>
              </w:rPr>
              <w:t xml:space="preserve">Natywny panel logowania (login i hasło) wzorowany na legacy: hasła składowane wyłącznie jako skróty kryptograficzne, sesja tokenowa, rola </w:t>
            </w:r>
            <w:proofErr w:type="spellStart"/>
            <w:r>
              <w:rPr>
                <w:color w:val="666666"/>
              </w:rPr>
              <w:t>użytkownika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niesiona</w:t>
            </w:r>
            <w:proofErr w:type="spellEnd"/>
            <w:r>
              <w:rPr>
                <w:color w:val="666666"/>
              </w:rPr>
              <w:t xml:space="preserve"> w </w:t>
            </w:r>
            <w:proofErr w:type="spellStart"/>
            <w:r>
              <w:rPr>
                <w:color w:val="666666"/>
              </w:rPr>
              <w:t>sesji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3B5C5CDD" w14:textId="77777777">
        <w:tc>
          <w:tcPr>
            <w:tcW w:w="1984" w:type="dxa"/>
          </w:tcPr>
          <w:p w14:paraId="49AF34C4" w14:textId="77777777" w:rsidR="00BA4AAF" w:rsidRDefault="00424DFD">
            <w:r>
              <w:t>Nowa funkcja</w:t>
            </w:r>
          </w:p>
        </w:tc>
        <w:tc>
          <w:tcPr>
            <w:tcW w:w="7087" w:type="dxa"/>
          </w:tcPr>
          <w:p w14:paraId="61880CB5" w14:textId="77777777" w:rsidR="00BA4AAF" w:rsidRDefault="00000000">
            <w:r>
              <w:rPr>
                <w:color w:val="666666"/>
              </w:rPr>
              <w:t xml:space="preserve">Ochrona wszystkich tras aplikacji — każde wejście bez ważnej sesji kończy </w:t>
            </w:r>
            <w:r>
              <w:rPr>
                <w:color w:val="666666"/>
              </w:rPr>
              <w:lastRenderedPageBreak/>
              <w:t xml:space="preserve">się przekierowaniem na ekran logowania; nie ma </w:t>
            </w:r>
            <w:proofErr w:type="spellStart"/>
            <w:r>
              <w:rPr>
                <w:color w:val="666666"/>
              </w:rPr>
              <w:t>ekranu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dostępnego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bocznymi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drzwiami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0E0C0B3E" w14:textId="77777777">
        <w:tc>
          <w:tcPr>
            <w:tcW w:w="1984" w:type="dxa"/>
          </w:tcPr>
          <w:p w14:paraId="61634D58" w14:textId="77777777" w:rsidR="00BA4AAF" w:rsidRDefault="00424DFD">
            <w:r>
              <w:lastRenderedPageBreak/>
              <w:t>Zmiana kierunku</w:t>
            </w:r>
          </w:p>
        </w:tc>
        <w:tc>
          <w:tcPr>
            <w:tcW w:w="7087" w:type="dxa"/>
          </w:tcPr>
          <w:p w14:paraId="399B189D" w14:textId="77777777" w:rsidR="00BA4AAF" w:rsidRDefault="00000000">
            <w:r>
              <w:rPr>
                <w:color w:val="666666"/>
              </w:rPr>
              <w:t xml:space="preserve">Docelowo logowanie będzie weryfikowane wprost o istniejącą tabelę użytkowników legacy — te same konta co dziś, bez drugiej bazy tożsamości; zakładanie nowych kont pozostaje po stronie nowej aplikacji. Warunek: poznanie sposobu szyfrowania haseł w legacy, do potwierdzenia ze </w:t>
            </w:r>
            <w:proofErr w:type="spellStart"/>
            <w:r>
              <w:rPr>
                <w:color w:val="666666"/>
              </w:rPr>
              <w:t>zrzutu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schematu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bazy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3837B326" w14:textId="77777777">
        <w:tc>
          <w:tcPr>
            <w:tcW w:w="1984" w:type="dxa"/>
          </w:tcPr>
          <w:p w14:paraId="7F17F295" w14:textId="77777777" w:rsidR="00BA4AAF" w:rsidRDefault="00424DFD">
            <w:r>
              <w:t>Analiza</w:t>
            </w:r>
          </w:p>
        </w:tc>
        <w:tc>
          <w:tcPr>
            <w:tcW w:w="7087" w:type="dxa"/>
          </w:tcPr>
          <w:p w14:paraId="54C22CA6" w14:textId="77777777" w:rsidR="00BA4AAF" w:rsidRDefault="00000000">
            <w:r>
              <w:rPr>
                <w:color w:val="666666"/>
              </w:rPr>
              <w:t xml:space="preserve">Model uprawnień legacy (moduły Grupy, Lokalizacja dostępy, Dostępy) pozostaje nieznany od środka — konto użyte do audytu nie ma do nich dostępu. Odtworzenie autoryzacji 1:1 wymaga </w:t>
            </w:r>
            <w:proofErr w:type="spellStart"/>
            <w:r>
              <w:rPr>
                <w:color w:val="666666"/>
              </w:rPr>
              <w:t>konta</w:t>
            </w:r>
            <w:proofErr w:type="spellEnd"/>
            <w:r>
              <w:rPr>
                <w:color w:val="666666"/>
              </w:rPr>
              <w:t xml:space="preserve"> o </w:t>
            </w:r>
            <w:proofErr w:type="spellStart"/>
            <w:r>
              <w:rPr>
                <w:color w:val="666666"/>
              </w:rPr>
              <w:t>wyższych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uprawnieniach</w:t>
            </w:r>
            <w:proofErr w:type="spellEnd"/>
            <w:r>
              <w:rPr>
                <w:color w:val="666666"/>
              </w:rPr>
              <w:t>.</w:t>
            </w:r>
          </w:p>
        </w:tc>
      </w:tr>
    </w:tbl>
    <w:p w14:paraId="4BE08049" w14:textId="77777777" w:rsidR="00BA4AAF" w:rsidRDefault="00000000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7EA6554B" w14:textId="77777777" w:rsidR="006351AA" w:rsidRDefault="00000000">
      <w:pPr>
        <w:pStyle w:val="Listapunktowana"/>
      </w:pPr>
      <w:r>
        <w:t>Dostęp do serwera w Bytomiu (konto do bazy, zapis do katalogu dokumentów, zrzut schematu) — blokada nr 1 całego kierunku; mail do koordynatora wysłany 17.07.2026, czekamy na odpowiedź administratorów</w:t>
      </w:r>
    </w:p>
    <w:p w14:paraId="4E232A36" w14:textId="77777777" w:rsidR="006351AA" w:rsidRDefault="00000000">
      <w:pPr>
        <w:pStyle w:val="Listapunktowana"/>
      </w:pPr>
      <w:r>
        <w:t>Konto Adobe Acrobat Sign z dostępem programistycznym (API) — płatny warunek wstępny, do potwierdzenia po stronie firmy</w:t>
      </w:r>
    </w:p>
    <w:p w14:paraId="36173F25" w14:textId="77777777" w:rsidR="006351AA" w:rsidRDefault="00000000">
      <w:pPr>
        <w:pStyle w:val="Listapunktowana"/>
      </w:pPr>
      <w:r>
        <w:t>Wymagany poziom podpisu elektronicznego (zwykły czy kwalifikowany) — do potwierdzenia z działem prawnym</w:t>
      </w:r>
    </w:p>
    <w:p w14:paraId="34DE4D00" w14:textId="77777777" w:rsidR="006351AA" w:rsidRDefault="00000000">
      <w:pPr>
        <w:pStyle w:val="Listapunktowana"/>
      </w:pPr>
      <w:r>
        <w:t>Akceptacja bezpieczeństwa dla wystawienia strony podpisu w internecie — dane umów są dziś wyłącznie wewnętrzne</w:t>
      </w:r>
    </w:p>
    <w:p w14:paraId="4F3CDBAE" w14:textId="77777777" w:rsidR="006351AA" w:rsidRDefault="00000000">
      <w:pPr>
        <w:pStyle w:val="Listapunktowana"/>
      </w:pPr>
      <w:r>
        <w:t>Sposób szyfrowania haseł w tabeli użytkowników legacy — niezbędny zarówno do logowania, jak i do zakładania nowych kont</w:t>
      </w:r>
    </w:p>
    <w:p w14:paraId="6CC48484" w14:textId="77777777" w:rsidR="006351AA" w:rsidRDefault="00000000">
      <w:pPr>
        <w:pStyle w:val="Listapunktowana"/>
      </w:pPr>
      <w:r>
        <w:t>Wnętrze 8 z 10 modułów legacy nieznane — konto użyte do audytu dostaje komunikat o braku dostępu; pełny inwentarz wymaga konta o wyższych uprawnieniach</w:t>
      </w:r>
    </w:p>
    <w:p w14:paraId="4A1CA1C8" w14:textId="77777777" w:rsidR="006351AA" w:rsidRDefault="00000000">
      <w:pPr>
        <w:pStyle w:val="Listapunktowana"/>
      </w:pPr>
      <w:r>
        <w:t>Model danych modułu Projekty niepotwierdzony na żywym rekordzie (widok audytowy pokazywał zero rekordów) — rozstrzygnie zrzut schematu bazy</w:t>
      </w:r>
    </w:p>
    <w:p w14:paraId="477749CD" w14:textId="77777777" w:rsidR="006351AA" w:rsidRDefault="00000000">
      <w:pPr>
        <w:pStyle w:val="Listapunktowana"/>
      </w:pPr>
      <w:r>
        <w:t>Szkielet repliki (Umowy, Projekty) powstał przed zmianą kierunku z 17.07.2026 — zostaje jako materiał referencyjny i baza interfejsu, nie jako docelowy produkt</w:t>
      </w:r>
    </w:p>
    <w:p w14:paraId="465716A3" w14:textId="77777777" w:rsidR="00BA4AAF" w:rsidRDefault="00BA4AAF">
      <w:pPr>
        <w:pStyle w:val="Listapunktowana"/>
      </w:pPr>
    </w:p>
    <w:p w14:paraId="160C4AE7" w14:textId="756F5CDC" w:rsidR="00BA4AAF" w:rsidRDefault="00000000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</w:t>
      </w:r>
      <w:r w:rsidR="00B42808">
        <w:rPr>
          <w:b/>
          <w:color w:val="1F2A44"/>
          <w:sz w:val="26"/>
        </w:rPr>
        <w:t>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</w:t>
      </w:r>
      <w:r w:rsidR="00C87506">
        <w:rPr>
          <w:b/>
          <w:color w:val="1F2A44"/>
          <w:sz w:val="26"/>
        </w:rPr>
        <w:t>godnie</w:t>
      </w:r>
      <w:proofErr w:type="spellEnd"/>
    </w:p>
    <w:p w14:paraId="70A231AB" w14:textId="77777777" w:rsidR="006351AA" w:rsidRDefault="00000000">
      <w:pPr>
        <w:pStyle w:val="Listapunktowana"/>
      </w:pPr>
      <w:r>
        <w:t>Domknięcie blokady nr 1 — dostęp do bazy i katalogu dokumentów w Bytomiu oraz zrzut schematu bazy</w:t>
      </w:r>
    </w:p>
    <w:p w14:paraId="19585E57" w14:textId="77777777" w:rsidR="006351AA" w:rsidRDefault="00000000">
      <w:pPr>
        <w:pStyle w:val="Listapunktowana"/>
      </w:pPr>
      <w:r>
        <w:t>Zmapowanie schematu legacy: tabele, relacje, pola audytowe i statusy — warunek jakiegokolwiek zapisu do produkcyjnej bazy</w:t>
      </w:r>
    </w:p>
    <w:p w14:paraId="6E27F4C3" w14:textId="77777777" w:rsidR="006351AA" w:rsidRDefault="00000000">
      <w:pPr>
        <w:pStyle w:val="Listapunktowana"/>
      </w:pPr>
      <w:r>
        <w:t>Potwierdzenie licencji Adobe Acrobat Sign z dostępem API i założenie środowiska testowego (sandbox)</w:t>
      </w:r>
    </w:p>
    <w:p w14:paraId="0DE5CFC9" w14:textId="77777777" w:rsidR="006351AA" w:rsidRDefault="00000000">
      <w:pPr>
        <w:pStyle w:val="Listapunktowana"/>
      </w:pPr>
      <w:r>
        <w:t>Szkielet nowej aplikacji (React i Node w kontenerach) z połączeniem tylko do odczytu do bazy legacy</w:t>
      </w:r>
    </w:p>
    <w:p w14:paraId="4460F7B5" w14:textId="77777777" w:rsidR="006351AA" w:rsidRDefault="00000000">
      <w:pPr>
        <w:pStyle w:val="Listapunktowana"/>
      </w:pPr>
      <w:r>
        <w:t>Logowanie weryfikowane o konta legacy</w:t>
      </w:r>
    </w:p>
    <w:p w14:paraId="570BC29A" w14:textId="77777777" w:rsidR="006351AA" w:rsidRDefault="00000000">
      <w:pPr>
        <w:pStyle w:val="Listapunktowana"/>
      </w:pPr>
      <w:r>
        <w:lastRenderedPageBreak/>
        <w:t>Lista umów z zaznaczaniem wielu pozycji i stałym zestawem osób podpisujących — przygotowanie pod masową wysyłkę do podpisu</w:t>
      </w:r>
    </w:p>
    <w:p w14:paraId="793584B4" w14:textId="77777777" w:rsidR="00BA4AAF" w:rsidRDefault="00BA4AAF">
      <w:pPr>
        <w:pStyle w:val="Listapunktowana"/>
      </w:pPr>
    </w:p>
    <w:p w14:paraId="1530E9C6" w14:textId="77777777" w:rsidR="00BA4AAF" w:rsidRDefault="00BA4AAF">
      <w:pPr>
        <w:pStyle w:val="Listapunktowana"/>
      </w:pPr>
    </w:p>
    <w:p w14:paraId="1085187D" w14:textId="77777777" w:rsidR="00BA4AAF" w:rsidRDefault="00BA4AAF"/>
    <w:p w14:paraId="5D0938CB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1314367F" w14:textId="77777777">
        <w:tc>
          <w:tcPr>
            <w:tcW w:w="4320" w:type="dxa"/>
          </w:tcPr>
          <w:p w14:paraId="45D4A53A" w14:textId="77777777" w:rsidR="00BA4AAF" w:rsidRDefault="00000000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09D387FA" w14:textId="77777777" w:rsidR="00BA4AAF" w:rsidRDefault="00000000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097B743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98C44" w14:textId="77777777" w:rsidR="000B299B" w:rsidRDefault="000B299B">
      <w:pPr>
        <w:spacing w:after="0" w:line="240" w:lineRule="auto"/>
      </w:pPr>
      <w:r>
        <w:separator/>
      </w:r>
    </w:p>
  </w:endnote>
  <w:endnote w:type="continuationSeparator" w:id="0">
    <w:p w14:paraId="6B13B8B5" w14:textId="77777777" w:rsidR="000B299B" w:rsidRDefault="000B2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7807D" w14:textId="77777777" w:rsidR="00BA4AAF" w:rsidRDefault="00000000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  Mateusz Mazur  |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26FC8" w14:textId="77777777" w:rsidR="000B299B" w:rsidRDefault="000B299B">
      <w:pPr>
        <w:spacing w:after="0" w:line="240" w:lineRule="auto"/>
      </w:pPr>
      <w:r>
        <w:separator/>
      </w:r>
    </w:p>
  </w:footnote>
  <w:footnote w:type="continuationSeparator" w:id="0">
    <w:p w14:paraId="01812268" w14:textId="77777777" w:rsidR="000B299B" w:rsidRDefault="000B2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9B"/>
    <w:rsid w:val="0015074B"/>
    <w:rsid w:val="0029639D"/>
    <w:rsid w:val="00326F90"/>
    <w:rsid w:val="003B4CB4"/>
    <w:rsid w:val="00424DFD"/>
    <w:rsid w:val="00492984"/>
    <w:rsid w:val="004C2E11"/>
    <w:rsid w:val="006351AA"/>
    <w:rsid w:val="007451FD"/>
    <w:rsid w:val="00761180"/>
    <w:rsid w:val="007801C4"/>
    <w:rsid w:val="00AA1D8D"/>
    <w:rsid w:val="00B42808"/>
    <w:rsid w:val="00B47730"/>
    <w:rsid w:val="00BA4AAF"/>
    <w:rsid w:val="00C45CAC"/>
    <w:rsid w:val="00C87506"/>
    <w:rsid w:val="00CB0664"/>
    <w:rsid w:val="00D22FBE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12064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1703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6</cp:revision>
  <dcterms:created xsi:type="dcterms:W3CDTF">2013-12-23T23:15:00Z</dcterms:created>
  <dcterms:modified xsi:type="dcterms:W3CDTF">2026-07-31T05:11:00Z</dcterms:modified>
  <cp:category/>
</cp:coreProperties>
</file>