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67838" w14:textId="77777777" w:rsidR="00AA63C9" w:rsidRDefault="00000000">
      <w:r>
        <w:rPr>
          <w:b/>
          <w:color w:val="1F2A44"/>
          <w:sz w:val="56"/>
        </w:rPr>
        <w:t>CRU2026</w:t>
      </w:r>
    </w:p>
    <w:p w14:paraId="492EE82A" w14:textId="77777777" w:rsidR="00AA63C9" w:rsidRDefault="00000000">
      <w:pPr>
        <w:pBdr>
          <w:bottom w:val="single" w:sz="12" w:space="4" w:color="2B57A6"/>
        </w:pBdr>
        <w:spacing w:after="240"/>
      </w:pPr>
      <w:r>
        <w:rPr>
          <w:color w:val="2B57A6"/>
          <w:sz w:val="30"/>
        </w:rPr>
        <w:t>Modernizacja Centralnego Rejestru Umów i elektroniczne podpisywanie umów – opis działania aplikacji</w:t>
      </w:r>
    </w:p>
    <w:tbl>
      <w:tblPr>
        <w:tblW w:w="0" w:type="auto"/>
        <w:tblLook w:val="04A0" w:firstRow="1" w:lastRow="0" w:firstColumn="1" w:lastColumn="0" w:noHBand="0" w:noVBand="1"/>
      </w:tblPr>
      <w:tblGrid>
        <w:gridCol w:w="2551"/>
        <w:gridCol w:w="6236"/>
      </w:tblGrid>
      <w:tr w:rsidR="00AA63C9" w14:paraId="2FB4532F" w14:textId="77777777">
        <w:tc>
          <w:tcPr>
            <w:tcW w:w="2551" w:type="dxa"/>
          </w:tcPr>
          <w:p w14:paraId="278D7BB6" w14:textId="77777777" w:rsidR="00AA63C9" w:rsidRDefault="00000000">
            <w:r>
              <w:rPr>
                <w:b/>
                <w:color w:val="1F2A44"/>
              </w:rPr>
              <w:t>Programista:</w:t>
            </w:r>
          </w:p>
        </w:tc>
        <w:tc>
          <w:tcPr>
            <w:tcW w:w="6236" w:type="dxa"/>
          </w:tcPr>
          <w:p w14:paraId="79CFB088" w14:textId="77777777" w:rsidR="00AA63C9" w:rsidRDefault="00000000">
            <w:r>
              <w:t>Mateusz Mazur</w:t>
            </w:r>
          </w:p>
        </w:tc>
      </w:tr>
      <w:tr w:rsidR="00AA63C9" w14:paraId="7D4B47E7" w14:textId="77777777">
        <w:tc>
          <w:tcPr>
            <w:tcW w:w="2551" w:type="dxa"/>
          </w:tcPr>
          <w:p w14:paraId="33E7FCA1" w14:textId="77777777" w:rsidR="00AA63C9" w:rsidRDefault="00000000">
            <w:r>
              <w:rPr>
                <w:b/>
                <w:color w:val="1F2A44"/>
              </w:rPr>
              <w:t>Dokument dla:</w:t>
            </w:r>
          </w:p>
        </w:tc>
        <w:tc>
          <w:tcPr>
            <w:tcW w:w="6236" w:type="dxa"/>
          </w:tcPr>
          <w:p w14:paraId="65D37C0F" w14:textId="77777777" w:rsidR="00AA63C9" w:rsidRDefault="00000000">
            <w:r>
              <w:t>Zarządu</w:t>
            </w:r>
          </w:p>
        </w:tc>
      </w:tr>
    </w:tbl>
    <w:p w14:paraId="4C125DCE" w14:textId="77777777" w:rsidR="00AA63C9" w:rsidRDefault="00AA63C9"/>
    <w:p w14:paraId="77A58F75" w14:textId="77777777" w:rsidR="00AA63C9" w:rsidRDefault="00000000">
      <w:pPr>
        <w:pBdr>
          <w:bottom w:val="single" w:sz="6" w:space="4" w:color="2B57A6"/>
        </w:pBdr>
        <w:spacing w:before="320" w:after="80"/>
      </w:pPr>
      <w:r>
        <w:rPr>
          <w:b/>
          <w:color w:val="1F2A44"/>
          <w:sz w:val="30"/>
        </w:rPr>
        <w:t>1. Wprowadzenie</w:t>
      </w:r>
    </w:p>
    <w:p w14:paraId="257D83BA" w14:textId="77777777" w:rsidR="00AA63C9" w:rsidRDefault="00000000">
      <w:pPr>
        <w:spacing w:after="120"/>
      </w:pPr>
      <w:r>
        <w:t>CRU2026 to modernizacja Centralnego Rejestru Umów – wewnętrznego systemu, w którym organizacja prowadzi dziś dokumentację umów. Rejestr działa od lat na firmowym serwerze, ale powstał w technologii PHP u zewnętrznego dostawcy, do której nie mamy dostępu do kodu ani możliwości rozwoju. Bieżąca wersja projektu polega na nadpisaniu plików .php istniejącej aplikacji i napisaniu ich funkcji od nowa w Node.js – na tej samej bazie danych i tych samych plikach umów, bez migracji danych. Na tej podstawie dokładamy główną nową funkcję: masowe podpisywanie umów elektronicznie przez Adobe Acrobat Sign.</w:t>
      </w:r>
    </w:p>
    <w:p w14:paraId="5B3332BD" w14:textId="77777777" w:rsidR="00AA63C9" w:rsidRDefault="00000000">
      <w:pPr>
        <w:spacing w:before="200" w:after="40"/>
      </w:pPr>
      <w:r>
        <w:rPr>
          <w:b/>
          <w:color w:val="2B57A6"/>
          <w:sz w:val="25"/>
        </w:rPr>
        <w:t>Problem, który rozwiązujemy</w:t>
      </w:r>
    </w:p>
    <w:p w14:paraId="562E5107" w14:textId="77777777" w:rsidR="00AA63C9" w:rsidRDefault="00000000">
      <w:pPr>
        <w:spacing w:after="120"/>
      </w:pPr>
      <w:r>
        <w:t>Przy skali ok. 2000 nowych umów rocznie (ok. 1200 umów projektowych i ok. 800 podpisanych) i ok. 100 osobach korzystających z dokumentacji obecny rejestr działa, ale jest nierozwijalny: kod należy do zewnętrznego dostawcy, a każda zmiana wymaga jego udziału. Do tego dochodzi najkosztowniejszy element codziennej pracy – ręczny obieg umowy do podpisu, który wydłuża drogę dokumentu o dni i grozi zgubieniem wersji. CRU2026 przenosi rejestr na technologię utrzymywaną wewnętrznie i zamyka podpisywanie w jednym, elektronicznym przebiegu.</w:t>
      </w:r>
    </w:p>
    <w:p w14:paraId="49E7679D" w14:textId="77777777" w:rsidR="00AA63C9" w:rsidRDefault="00000000">
      <w:pPr>
        <w:spacing w:before="200" w:after="40"/>
      </w:pPr>
      <w:r>
        <w:rPr>
          <w:b/>
          <w:color w:val="2B57A6"/>
          <w:sz w:val="25"/>
        </w:rPr>
        <w:t>Na czym polega wartość</w:t>
      </w:r>
    </w:p>
    <w:p w14:paraId="4D7EC55B" w14:textId="77777777" w:rsidR="00AA63C9" w:rsidRDefault="00000000">
      <w:pPr>
        <w:pStyle w:val="Listapunktowana"/>
      </w:pPr>
      <w:r>
        <w:rPr>
          <w:b/>
          <w:color w:val="1F2A44"/>
        </w:rPr>
        <w:t>Odzyskana kontrola nad systemem:</w:t>
      </w:r>
      <w:r>
        <w:t xml:space="preserve"> kod rejestru wraca do organizacji – zmiany nie wymagają już udziału zewnętrznego dostawcy</w:t>
      </w:r>
    </w:p>
    <w:p w14:paraId="13660D4D" w14:textId="77777777" w:rsidR="00AA63C9" w:rsidRDefault="00000000">
      <w:pPr>
        <w:pStyle w:val="Listapunktowana"/>
      </w:pPr>
      <w:r>
        <w:rPr>
          <w:b/>
          <w:color w:val="1F2A44"/>
        </w:rPr>
        <w:t>Podpis elektroniczny zamiast obiegu papierowego:</w:t>
      </w:r>
      <w:r>
        <w:t xml:space="preserve"> umowa trafia do kolejnych osób decyzyjnych w przeglądarce, bez drukowania i skanowania</w:t>
      </w:r>
    </w:p>
    <w:p w14:paraId="4D190343" w14:textId="77777777" w:rsidR="00AA63C9" w:rsidRDefault="00000000">
      <w:pPr>
        <w:pStyle w:val="Listapunktowana"/>
      </w:pPr>
      <w:r>
        <w:rPr>
          <w:b/>
          <w:color w:val="1F2A44"/>
        </w:rPr>
        <w:t>Bez migracji danych:</w:t>
      </w:r>
      <w:r>
        <w:t xml:space="preserve"> nowa aplikacja pracuje na tej samej bazie i tych samych plikach, więc cała historia umów zostaje nienaruszona, a użytkownicy nie tracą dostępu do rejestru</w:t>
      </w:r>
    </w:p>
    <w:p w14:paraId="539EF555" w14:textId="77777777" w:rsidR="00AA63C9" w:rsidRDefault="00000000">
      <w:pPr>
        <w:pStyle w:val="Listapunktowana"/>
      </w:pPr>
      <w:r>
        <w:rPr>
          <w:b/>
          <w:color w:val="1F2A44"/>
        </w:rPr>
        <w:t>Ślad audytowy:</w:t>
      </w:r>
      <w:r>
        <w:t xml:space="preserve"> pełna historia, kto i kiedy dodał lub zmienił daną umowę</w:t>
      </w:r>
    </w:p>
    <w:p w14:paraId="1436AF79" w14:textId="77777777" w:rsidR="00AA63C9" w:rsidRDefault="00000000">
      <w:pPr>
        <w:pBdr>
          <w:bottom w:val="single" w:sz="6" w:space="4" w:color="2B57A6"/>
        </w:pBdr>
        <w:spacing w:before="320" w:after="80"/>
      </w:pPr>
      <w:r>
        <w:rPr>
          <w:b/>
          <w:color w:val="1F2A44"/>
          <w:sz w:val="30"/>
        </w:rPr>
        <w:t>2. Logowanie i dostęp</w:t>
      </w:r>
    </w:p>
    <w:p w14:paraId="10F67686" w14:textId="77777777" w:rsidR="00AA63C9" w:rsidRDefault="00000000">
      <w:pPr>
        <w:spacing w:after="120"/>
      </w:pPr>
      <w:r>
        <w:t>Logowanie odbywa się na tych samych kontach, z których użytkownicy korzystają dziś w rejestrze – nowa aplikacja weryfikuje login i hasło o istniejącą bazę użytkowników, więc nikt nie zakłada nowego konta ani nie zapamiętuje drugiego hasła. Wcześniejsze założenie logowania firmowym kontem Microsoft (SSO) zostało wycofane: audyt wykazał, że obecny system ma własny, natywny formularz logowania i własną bazę użytkowników.</w:t>
      </w:r>
    </w:p>
    <w:p w14:paraId="5A2DA3AE" w14:textId="77777777" w:rsidR="00AA63C9" w:rsidRDefault="00000000">
      <w:pPr>
        <w:pStyle w:val="Listapunktowana"/>
      </w:pPr>
      <w:r>
        <w:rPr>
          <w:b/>
          <w:color w:val="1F2A44"/>
        </w:rPr>
        <w:t>Te same konta co dziś:</w:t>
      </w:r>
      <w:r>
        <w:t xml:space="preserve"> logowanie weryfikowane o istniejącą bazę użytkowników rejestru, bez równoległej bazy tożsamości</w:t>
      </w:r>
    </w:p>
    <w:p w14:paraId="23ED4279" w14:textId="77777777" w:rsidR="00AA63C9" w:rsidRDefault="00000000">
      <w:pPr>
        <w:pStyle w:val="Listapunktowana"/>
      </w:pPr>
      <w:r>
        <w:rPr>
          <w:b/>
          <w:color w:val="1F2A44"/>
        </w:rPr>
        <w:t>Role dostępu:</w:t>
      </w:r>
      <w:r>
        <w:t xml:space="preserve"> zakres uprawnień odwzorowany z obecnego systemu; dokładny model ról zostanie potwierdzony po udostępnieniu schematu bazy przez administratorów serwera</w:t>
      </w:r>
    </w:p>
    <w:p w14:paraId="601BE3E3" w14:textId="77777777" w:rsidR="00AA63C9" w:rsidRDefault="00000000">
      <w:pPr>
        <w:pStyle w:val="Listapunktowana"/>
      </w:pPr>
      <w:r>
        <w:rPr>
          <w:b/>
          <w:color w:val="1F2A44"/>
        </w:rPr>
        <w:t>Zakładanie kont:</w:t>
      </w:r>
      <w:r>
        <w:t xml:space="preserve"> nowe konta zakłada się bezpośrednio w aplikacji, bez zgłoszenia do zewnętrznego dostawcy</w:t>
      </w:r>
    </w:p>
    <w:p w14:paraId="290263B1" w14:textId="77777777" w:rsidR="00AA63C9" w:rsidRDefault="00000000">
      <w:pPr>
        <w:pBdr>
          <w:bottom w:val="single" w:sz="6" w:space="4" w:color="2B57A6"/>
        </w:pBdr>
        <w:spacing w:before="320" w:after="80"/>
      </w:pPr>
      <w:r>
        <w:rPr>
          <w:b/>
          <w:color w:val="1F2A44"/>
          <w:sz w:val="30"/>
        </w:rPr>
        <w:t>3. Rejestr umów - serce aplikacji</w:t>
      </w:r>
    </w:p>
    <w:p w14:paraId="5BB74A2D" w14:textId="77777777" w:rsidR="00AA63C9" w:rsidRDefault="00000000">
      <w:pPr>
        <w:spacing w:after="120"/>
      </w:pPr>
      <w:r>
        <w:t>Rejestr prowadzi przez wszystkie kluczowe informacje o umowie i pozwala odnaleźć dowolny dokument w kilka sekund, nawet wśród tysięcy pozycji. Zakres jest wiernym odwzorowaniem obecnego rejestru – nic nie znika i niczego nie trzeba przepisywać ręcznie.</w:t>
      </w:r>
    </w:p>
    <w:p w14:paraId="21A58820" w14:textId="77777777" w:rsidR="00AA63C9" w:rsidRDefault="00000000">
      <w:pPr>
        <w:pStyle w:val="Listapunktowana"/>
      </w:pPr>
      <w:r>
        <w:rPr>
          <w:b/>
          <w:color w:val="1F2A44"/>
        </w:rPr>
        <w:t>Metadane umowy:</w:t>
      </w:r>
      <w:r>
        <w:t xml:space="preserve"> 34 pola opisujące umowę – strony, przedmiot, wartość i waluta, typ dokumentu, spółka, lokalizacja, daty obowiązywania, status</w:t>
      </w:r>
    </w:p>
    <w:p w14:paraId="6663FD0D" w14:textId="77777777" w:rsidR="00AA63C9" w:rsidRDefault="00000000">
      <w:pPr>
        <w:pStyle w:val="Listapunktowana"/>
      </w:pPr>
      <w:r>
        <w:rPr>
          <w:b/>
          <w:color w:val="1F2A44"/>
        </w:rPr>
        <w:t>Załączniki:</w:t>
      </w:r>
      <w:r>
        <w:t xml:space="preserve"> skany i dokumenty umowy podpięte bezpośrednio do rekordu w rejestrze, z oznaczeniem wersji ostatecznej</w:t>
      </w:r>
    </w:p>
    <w:p w14:paraId="24EFDC3A" w14:textId="77777777" w:rsidR="00AA63C9" w:rsidRDefault="00000000">
      <w:pPr>
        <w:pStyle w:val="Listapunktowana"/>
      </w:pPr>
      <w:r>
        <w:rPr>
          <w:b/>
          <w:color w:val="1F2A44"/>
        </w:rPr>
        <w:t>Wyszukiwanie i filtrowanie:</w:t>
      </w:r>
      <w:r>
        <w:t xml:space="preserve"> po typie, kontrahencie, dacie, wartości i statusie, z możliwością wyboru widocznych kolumn tabeli</w:t>
      </w:r>
    </w:p>
    <w:p w14:paraId="20E06441" w14:textId="77777777" w:rsidR="00AA63C9" w:rsidRDefault="00000000">
      <w:pPr>
        <w:pStyle w:val="Listapunktowana"/>
      </w:pPr>
      <w:r>
        <w:rPr>
          <w:b/>
          <w:color w:val="1F2A44"/>
        </w:rPr>
        <w:t>Skala:</w:t>
      </w:r>
      <w:r>
        <w:t xml:space="preserve"> rejestr obsługuje ok. 2000 nowych umów rocznie i ok. 20 tys. rekordów historycznych bez utraty wydajności wyszukiwania</w:t>
      </w:r>
    </w:p>
    <w:p w14:paraId="5B72DA84" w14:textId="77777777" w:rsidR="00AA63C9" w:rsidRDefault="00000000">
      <w:pPr>
        <w:pStyle w:val="Listapunktowana"/>
      </w:pPr>
      <w:r>
        <w:rPr>
          <w:b/>
        </w:rPr>
        <w:t>Aneksy i projekty:</w:t>
      </w:r>
      <w:r>
        <w:t xml:space="preserve"> aneks jest powiązany z umową nadrzędną, a umowa – z projektem, w ramach którego powstała (wewnętrzny obieg akceptacji umowy)</w:t>
      </w:r>
    </w:p>
    <w:p w14:paraId="6035F00A" w14:textId="77777777" w:rsidR="00AA63C9" w:rsidRDefault="00000000">
      <w:pPr>
        <w:spacing w:after="160"/>
      </w:pPr>
      <w:r>
        <w:t>Każda pozycja rejestru prowadzi pełną historię zmian, więc zawsze wiadomo, kto i kiedy dokonał modyfikacji.</w:t>
      </w:r>
    </w:p>
    <w:p w14:paraId="104693AA" w14:textId="77777777" w:rsidR="00AA63C9" w:rsidRDefault="00000000">
      <w:pPr>
        <w:spacing w:before="200" w:after="40"/>
      </w:pPr>
      <w:r>
        <w:rPr>
          <w:b/>
          <w:color w:val="2B57A6"/>
          <w:sz w:val="25"/>
        </w:rPr>
        <w:t>Dane przechowywane w rejestrze</w:t>
      </w:r>
    </w:p>
    <w:p w14:paraId="7E9BA709" w14:textId="77777777" w:rsidR="00AA63C9" w:rsidRDefault="00000000">
      <w:pPr>
        <w:spacing w:after="120"/>
      </w:pPr>
      <w:r>
        <w:t>Kluczowe pola rejestru obejmują:</w:t>
      </w:r>
    </w:p>
    <w:p w14:paraId="34641302" w14:textId="77777777" w:rsidR="00AA63C9" w:rsidRDefault="00000000">
      <w:pPr>
        <w:pStyle w:val="Listapunktowana"/>
      </w:pPr>
      <w:r>
        <w:rPr>
          <w:b/>
          <w:color w:val="1F2A44"/>
        </w:rPr>
        <w:t>Dane podstawowe:</w:t>
      </w:r>
      <w:r>
        <w:t xml:space="preserve"> strony umowy, przedmiot, wartość, waluta, status</w:t>
      </w:r>
    </w:p>
    <w:p w14:paraId="7E3A0E9C" w14:textId="77777777" w:rsidR="00AA63C9" w:rsidRDefault="00000000">
      <w:pPr>
        <w:pStyle w:val="Listapunktowana"/>
      </w:pPr>
      <w:r>
        <w:rPr>
          <w:b/>
          <w:color w:val="1F2A44"/>
        </w:rPr>
        <w:t>Terminy:</w:t>
      </w:r>
      <w:r>
        <w:t xml:space="preserve"> data zawarcia, data zakończenia i okres wypowiedzenia, z sygnalizacją umów kończących się w ciągu 30 i 90 dni</w:t>
      </w:r>
    </w:p>
    <w:p w14:paraId="144F838A" w14:textId="77777777" w:rsidR="00AA63C9" w:rsidRDefault="00000000">
      <w:pPr>
        <w:spacing w:before="200" w:after="40"/>
      </w:pPr>
      <w:r>
        <w:rPr>
          <w:b/>
          <w:color w:val="2B57A6"/>
          <w:sz w:val="25"/>
        </w:rPr>
        <w:t>Cykl życia umowy w rejestrze</w:t>
      </w:r>
    </w:p>
    <w:p w14:paraId="49760B31" w14:textId="77777777" w:rsidR="00AA63C9" w:rsidRDefault="00000000">
      <w:pPr>
        <w:spacing w:after="120"/>
      </w:pPr>
      <w:r>
        <w:t>Poniżej uproszczony przebieg umowy w systemie – od wprowadzenia, przez podpis elektroniczny, po zakończenie:</w:t>
      </w:r>
    </w:p>
    <w:tbl>
      <w:tblPr>
        <w:tblStyle w:val="Tabela-Siatka"/>
        <w:tblW w:w="0" w:type="auto"/>
        <w:tblLook w:val="04A0" w:firstRow="1" w:lastRow="0" w:firstColumn="1" w:lastColumn="0" w:noHBand="0" w:noVBand="1"/>
      </w:tblPr>
      <w:tblGrid>
        <w:gridCol w:w="3684"/>
        <w:gridCol w:w="5172"/>
      </w:tblGrid>
      <w:tr w:rsidR="00AA63C9" w14:paraId="5A36A8EF" w14:textId="77777777">
        <w:tc>
          <w:tcPr>
            <w:tcW w:w="4320" w:type="dxa"/>
            <w:shd w:val="clear" w:color="auto" w:fill="2B57A6"/>
          </w:tcPr>
          <w:p w14:paraId="50982A45" w14:textId="77777777" w:rsidR="00AA63C9" w:rsidRDefault="00000000">
            <w:r>
              <w:t>Etap</w:t>
            </w:r>
          </w:p>
        </w:tc>
        <w:tc>
          <w:tcPr>
            <w:tcW w:w="4320" w:type="dxa"/>
            <w:shd w:val="clear" w:color="auto" w:fill="2B57A6"/>
          </w:tcPr>
          <w:p w14:paraId="789A803D" w14:textId="77777777" w:rsidR="00AA63C9" w:rsidRDefault="00000000">
            <w:r>
              <w:t>Co się dzieje</w:t>
            </w:r>
          </w:p>
        </w:tc>
      </w:tr>
      <w:tr w:rsidR="00AA63C9" w14:paraId="3B04A34C" w14:textId="77777777">
        <w:tc>
          <w:tcPr>
            <w:tcW w:w="2835" w:type="dxa"/>
          </w:tcPr>
          <w:p w14:paraId="3AA48B34" w14:textId="77777777" w:rsidR="00AA63C9" w:rsidRDefault="00000000">
            <w:r>
              <w:t>Dodanie umowy do rejestru</w:t>
            </w:r>
          </w:p>
        </w:tc>
        <w:tc>
          <w:tcPr>
            <w:tcW w:w="6236" w:type="dxa"/>
          </w:tcPr>
          <w:p w14:paraId="557D17BD" w14:textId="77777777" w:rsidR="00AA63C9" w:rsidRDefault="00000000">
            <w:r>
              <w:t>Wprowadzenie danych umowy i podpięcie skanu dokumentu.</w:t>
            </w:r>
          </w:p>
        </w:tc>
      </w:tr>
      <w:tr w:rsidR="00AA63C9" w14:paraId="3B04A34C" w14:textId="77777777">
        <w:tc>
          <w:tcPr>
            <w:tcW w:w="2835" w:type="dxa"/>
          </w:tcPr>
          <w:p w14:paraId="3AA48B34" w14:textId="77777777" w:rsidR="00AA63C9" w:rsidRDefault="00000000">
            <w:r>
              <w:t>Weryfikacja i akceptacja</w:t>
            </w:r>
          </w:p>
        </w:tc>
        <w:tc>
          <w:tcPr>
            <w:tcW w:w="6236" w:type="dxa"/>
          </w:tcPr>
          <w:p w14:paraId="557D17BD" w14:textId="77777777" w:rsidR="00AA63C9" w:rsidRDefault="00000000">
            <w:r>
              <w:t>Sprawdzenie kompletności danych oraz przejście umowy przez wewnętrzny obieg akceptacji.</w:t>
            </w:r>
          </w:p>
        </w:tc>
      </w:tr>
      <w:tr w:rsidR="00AA63C9" w14:paraId="3B04A34C" w14:textId="77777777">
        <w:tc>
          <w:tcPr>
            <w:tcW w:w="2835" w:type="dxa"/>
          </w:tcPr>
          <w:p w14:paraId="3AA48B34" w14:textId="77777777" w:rsidR="00AA63C9" w:rsidRDefault="00000000">
            <w:r>
              <w:t>Wysłanie do podpisu</w:t>
            </w:r>
          </w:p>
        </w:tc>
        <w:tc>
          <w:tcPr>
            <w:tcW w:w="6236" w:type="dxa"/>
          </w:tcPr>
          <w:p w14:paraId="557D17BD" w14:textId="77777777" w:rsidR="00AA63C9" w:rsidRDefault="00000000">
            <w:r>
              <w:t>Zaznaczenie umów na liście i wysłanie ich do podpisu elektronicznego – pojedynczo lub hurtowo.</w:t>
            </w:r>
          </w:p>
        </w:tc>
      </w:tr>
      <w:tr w:rsidR="00AA63C9" w14:paraId="3B04A34C" w14:textId="77777777">
        <w:tc>
          <w:tcPr>
            <w:tcW w:w="2835" w:type="dxa"/>
          </w:tcPr>
          <w:p w14:paraId="3AA48B34" w14:textId="77777777" w:rsidR="00AA63C9" w:rsidRDefault="00000000">
            <w:r>
              <w:t>Podpis i powrót dokumentu</w:t>
            </w:r>
          </w:p>
        </w:tc>
        <w:tc>
          <w:tcPr>
            <w:tcW w:w="6236" w:type="dxa"/>
          </w:tcPr>
          <w:p w14:paraId="557D17BD" w14:textId="77777777" w:rsidR="00AA63C9" w:rsidRDefault="00000000">
            <w:r>
              <w:t>Kolejne osoby decyzyjne podpisują dokument w przeglądarce; podpisany plik wraca do rejestru i zastępuje wersję niepodpisaną.</w:t>
            </w:r>
          </w:p>
        </w:tc>
      </w:tr>
      <w:tr w:rsidR="00AA63C9" w14:paraId="3B04A34C" w14:textId="77777777">
        <w:tc>
          <w:tcPr>
            <w:tcW w:w="2835" w:type="dxa"/>
          </w:tcPr>
          <w:p w14:paraId="3AA48B34" w14:textId="77777777" w:rsidR="00AA63C9" w:rsidRDefault="00000000">
            <w:r>
              <w:t>Okres obowiązywania umowy</w:t>
            </w:r>
          </w:p>
        </w:tc>
        <w:tc>
          <w:tcPr>
            <w:tcW w:w="6236" w:type="dxa"/>
          </w:tcPr>
          <w:p w14:paraId="557D17BD" w14:textId="77777777" w:rsidR="00AA63C9" w:rsidRDefault="00000000">
            <w:r>
              <w:t>Umowa widoczna w rejestrze, z sygnalizacją zbliżającej się daty zakończenia.</w:t>
            </w:r>
          </w:p>
        </w:tc>
      </w:tr>
    </w:tbl>
    <w:p w14:paraId="3BF97B31" w14:textId="77777777" w:rsidR="00AA63C9" w:rsidRDefault="00000000">
      <w:pPr>
        <w:spacing w:after="160"/>
      </w:pPr>
      <w:r>
        <w:rPr>
          <w:i/>
          <w:color w:val="666666"/>
        </w:rPr>
        <w:t>Uwaga: dokładny zakres pól i typów umów odwzorowywany jest z obecnego rejestru i doprecyzowywany w miarę udostępniania schematu bazy przez administratorów serwera.</w:t>
      </w:r>
    </w:p>
    <w:p w14:paraId="6CF7E5CF" w14:textId="77777777" w:rsidR="00AA63C9" w:rsidRDefault="00000000">
      <w:pPr>
        <w:pBdr>
          <w:bottom w:val="single" w:sz="6" w:space="4" w:color="2B57A6"/>
        </w:pBdr>
        <w:spacing w:before="320" w:after="80"/>
      </w:pPr>
      <w:r>
        <w:rPr>
          <w:b/>
          <w:color w:val="1F2A44"/>
          <w:sz w:val="30"/>
        </w:rPr>
        <w:t>4. Masowe podpisywanie umów elektronicznie</w:t>
      </w:r>
    </w:p>
    <w:p w14:paraId="7D381C53" w14:textId="77777777" w:rsidR="00AA63C9" w:rsidRDefault="00000000">
      <w:pPr>
        <w:spacing w:after="120"/>
      </w:pPr>
      <w:r>
        <w:t>Najważniejsza nowa funkcja CRU2026. Umowa trafia do podpisu przez internet, do kolejnych osób decyzyjnych, bez drukowania i bez pobierania pliku na komputer podpisującego – podpis składa się na stronie w przeglądarce. Korzystamy z Adobe Acrobat Sign, czyli rozwiązania o uznanej mocy prawnej.</w:t>
      </w:r>
    </w:p>
    <w:p w14:paraId="6CA38C2B" w14:textId="77777777" w:rsidR="00AA63C9" w:rsidRDefault="00000000">
      <w:pPr>
        <w:pStyle w:val="Listapunktowana"/>
      </w:pPr>
      <w:r>
        <w:rPr>
          <w:b/>
          <w:color w:val="1F2A44"/>
        </w:rPr>
        <w:t>Wysyłka hurtowa:</w:t>
      </w:r>
      <w:r>
        <w:t xml:space="preserve"> zaznaczenie wielu umów na liście i wysłanie ich do podpisu jednym przyciskiem</w:t>
      </w:r>
    </w:p>
    <w:p w14:paraId="59453CBD" w14:textId="77777777" w:rsidR="00AA63C9" w:rsidRDefault="00000000">
      <w:pPr>
        <w:pStyle w:val="Listapunktowana"/>
      </w:pPr>
      <w:r>
        <w:rPr>
          <w:b/>
          <w:color w:val="1F2A44"/>
        </w:rPr>
        <w:t>Ustalona kolejność podpisujących:</w:t>
      </w:r>
      <w:r>
        <w:t xml:space="preserve"> z góry zdefiniowana lista osób decyzyjnych – każda otrzymuje dokument w swojej kolejce</w:t>
      </w:r>
    </w:p>
    <w:p w14:paraId="503806E2" w14:textId="77777777" w:rsidR="00AA63C9" w:rsidRDefault="00000000">
      <w:pPr>
        <w:pStyle w:val="Listapunktowana"/>
      </w:pPr>
      <w:r>
        <w:rPr>
          <w:b/>
          <w:color w:val="1F2A44"/>
        </w:rPr>
        <w:t>Podpis w przeglądarce:</w:t>
      </w:r>
      <w:r>
        <w:t xml:space="preserve"> podpisujący otwiera link z wiadomości e-mail i podpisuje online, bez instalowania czegokolwiek i bez pliku na swoim komputerze</w:t>
      </w:r>
    </w:p>
    <w:p w14:paraId="106CFF58" w14:textId="77777777" w:rsidR="00AA63C9" w:rsidRDefault="00000000">
      <w:pPr>
        <w:pStyle w:val="Listapunktowana"/>
      </w:pPr>
      <w:r>
        <w:rPr>
          <w:b/>
          <w:color w:val="1F2A44"/>
        </w:rPr>
        <w:t>Podgląd statusów:</w:t>
      </w:r>
      <w:r>
        <w:t xml:space="preserve"> widok, które umowy zostały wysłane, u kogo aktualnie czekają i które są już podpisane</w:t>
      </w:r>
    </w:p>
    <w:p w14:paraId="408C9462" w14:textId="77777777" w:rsidR="00AA63C9" w:rsidRDefault="00000000">
      <w:pPr>
        <w:pStyle w:val="Listapunktowana"/>
      </w:pPr>
      <w:r>
        <w:rPr>
          <w:b/>
          <w:color w:val="1F2A44"/>
        </w:rPr>
        <w:t>Automatyczny powrót dokumentu:</w:t>
      </w:r>
      <w:r>
        <w:t xml:space="preserve"> po skompletowaniu podpisów podpisany plik wraca do rejestru i zastępuje wersję niepodpisaną; kopia oryginału jest zachowywana na czas całego procesu</w:t>
      </w:r>
    </w:p>
    <w:p w14:paraId="3BF97B31" w14:textId="77777777" w:rsidR="00AA63C9" w:rsidRDefault="00000000">
      <w:pPr>
        <w:spacing w:after="160"/>
      </w:pPr>
      <w:r>
        <w:rPr>
          <w:i/>
          <w:color w:val="666666"/>
        </w:rPr>
        <w:t>Uwaga: automatyczna wysyłka przypomnień o zbliżającym się końcu umowy oraz widok kalendarza terminów wypadły z bieżącego zakresu wraz ze zmianą kierunku. Rejestr sygnalizuje zagrożone umowy na liście, ale nie wysyła powiadomień – temat może wrócić po uruchomieniu podpisu elektronicznego.</w:t>
      </w:r>
    </w:p>
    <w:p w14:paraId="6C253D07" w14:textId="075D1106" w:rsidR="00AA63C9" w:rsidRDefault="00000000">
      <w:pPr>
        <w:pBdr>
          <w:bottom w:val="single" w:sz="6" w:space="4" w:color="2B57A6"/>
        </w:pBdr>
        <w:spacing w:before="320" w:after="80"/>
      </w:pPr>
      <w:r>
        <w:rPr>
          <w:b/>
          <w:color w:val="1F2A44"/>
          <w:sz w:val="30"/>
        </w:rPr>
        <w:t>5. Przechowywanie dokumentów umów</w:t>
      </w:r>
      <w:proofErr w:type="spellStart"/>
      <w:proofErr w:type="spellEnd"/>
    </w:p>
    <w:p w14:paraId="6BA3360B" w14:textId="77777777" w:rsidR="00AA63C9" w:rsidRDefault="00000000">
      <w:pPr>
        <w:spacing w:after="120"/>
      </w:pPr>
      <w:r>
        <w:t>Dokumenty umów nie są przechowywane lokalnie ani na dysku pojedynczego komputera – pozostają tam, gdzie znajdują się dziś: na firmowym serwerze plików, z którego korzysta rejestr. Nowa aplikacja niczego nie przenosi, tylko sięga do istniejącego magazynu dokumentów.</w:t>
      </w:r>
    </w:p>
    <w:p w14:paraId="6F5D319D" w14:textId="77777777" w:rsidR="00AA63C9" w:rsidRDefault="00000000">
      <w:pPr>
        <w:pStyle w:val="Listapunktowana"/>
      </w:pPr>
      <w:r>
        <w:rPr>
          <w:b/>
          <w:color w:val="1F2A44"/>
        </w:rPr>
        <w:t>Bez migracji plików:</w:t>
      </w:r>
      <w:r>
        <w:t xml:space="preserve"> dotychczasowe skany i dokumenty zostają na swoim miejscu, więc wdrożenie nie wymaga przenoszenia tysięcy plików ani przestoju</w:t>
      </w:r>
    </w:p>
    <w:p w14:paraId="65454A58" w14:textId="77777777" w:rsidR="00AA63C9" w:rsidRDefault="00000000">
      <w:pPr>
        <w:pStyle w:val="Listapunktowana"/>
      </w:pPr>
      <w:r>
        <w:rPr>
          <w:b/>
          <w:color w:val="1F2A44"/>
        </w:rPr>
        <w:t>Zabezpieczenie wersji:</w:t>
      </w:r>
      <w:r>
        <w:t xml:space="preserve"> przed zastąpieniem dokumentu wersją podpisaną zachowywana jest kopia oryginału, a podmiana wykonywana jest w jednej, niepodzielnej operacji</w:t>
      </w:r>
    </w:p>
    <w:p w14:paraId="2E420AFB" w14:textId="77777777" w:rsidR="00AA63C9" w:rsidRDefault="00000000">
      <w:pPr>
        <w:pStyle w:val="Listapunktowana"/>
      </w:pPr>
      <w:r>
        <w:rPr>
          <w:b/>
          <w:color w:val="1F2A44"/>
        </w:rPr>
        <w:t>Docelowa infrastruktura otwarta:</w:t>
      </w:r>
      <w:r>
        <w:t xml:space="preserve"> SharePoint i AWS pozostają rozważanymi kierunkami na przyszłość; aplikacja odwołuje się do dokumentów przez warstwę pośrednią, więc zmiana miejsca przechowywania nie wymaga przebudowy rejestru</w:t>
      </w:r>
    </w:p>
    <w:p w14:paraId="36AC0013" w14:textId="77777777" w:rsidR="00AA63C9" w:rsidRDefault="00000000">
      <w:pPr>
        <w:pBdr>
          <w:bottom w:val="single" w:sz="6" w:space="4" w:color="2B57A6"/>
        </w:pBdr>
        <w:spacing w:before="320" w:after="80"/>
      </w:pPr>
      <w:r>
        <w:rPr>
          <w:b/>
          <w:color w:val="1F2A44"/>
          <w:sz w:val="30"/>
        </w:rPr>
        <w:t>6. Podsumowanie wartości biznesowej</w:t>
      </w:r>
    </w:p>
    <w:p w14:paraId="7F8B97EA" w14:textId="77777777" w:rsidR="00AA63C9" w:rsidRDefault="00000000">
      <w:pPr>
        <w:spacing w:after="120"/>
      </w:pPr>
      <w:r>
        <w:t>CRU2026 nie buduje rejestru umów od zera – przejmuje istniejący, sprawdzony rejestr i przenosi go na technologię utrzymywaną wewnętrznie: pliki .php starej aplikacji zostają nadpisane i napisane od nowa w Node.js, na tych samych danych i bez migracji. Do tego dochodzi realna zmiana w codziennej pracy – masowe podpisywanie umów elektronicznie przez Adobe Acrobat Sign zamiast obiegu papierowego: umowa podpisana przez kilka osób w kilka godzin zamiast w kilka dni, bez drukowania i bez ryzyka zgubienia wersji. Organizacja przestaje przy tym zależeć od zewnętrznego dostawcy, do którego kodu nie ma dostępu. Aplikacja utrzymuje pełną szatę graficzną ArcelorMittal (logo, fonty, kolory), więc jest rozpoznawalna jako narzędzie firmowe od pierwszego kontaktu.</w:t>
      </w:r>
    </w:p>
    <w:sectPr w:rsidR="00AA63C9"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3BD00" w14:textId="77777777" w:rsidR="006166DC" w:rsidRDefault="006166DC">
      <w:pPr>
        <w:spacing w:after="0" w:line="240" w:lineRule="auto"/>
      </w:pPr>
      <w:r>
        <w:separator/>
      </w:r>
    </w:p>
  </w:endnote>
  <w:endnote w:type="continuationSeparator" w:id="0">
    <w:p w14:paraId="20BCDD12" w14:textId="77777777" w:rsidR="006166DC" w:rsidRDefault="006166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4FCE0" w14:textId="77777777" w:rsidR="00AA63C9" w:rsidRDefault="00000000">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Opis</w:t>
    </w:r>
    <w:proofErr w:type="spellEnd"/>
    <w:r>
      <w:rPr>
        <w:color w:val="666666"/>
        <w:sz w:val="16"/>
      </w:rPr>
      <w:t xml:space="preserve"> </w:t>
    </w:r>
    <w:proofErr w:type="spellStart"/>
    <w:proofErr w:type="gramStart"/>
    <w:r>
      <w:rPr>
        <w:color w:val="666666"/>
        <w:sz w:val="16"/>
      </w:rPr>
      <w:t>działania</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0ACF1" w14:textId="77777777" w:rsidR="006166DC" w:rsidRDefault="006166DC">
      <w:pPr>
        <w:spacing w:after="0" w:line="240" w:lineRule="auto"/>
      </w:pPr>
      <w:r>
        <w:separator/>
      </w:r>
    </w:p>
  </w:footnote>
  <w:footnote w:type="continuationSeparator" w:id="0">
    <w:p w14:paraId="7FF2292C" w14:textId="77777777" w:rsidR="006166DC" w:rsidRDefault="006166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262683691">
    <w:abstractNumId w:val="8"/>
  </w:num>
  <w:num w:numId="2" w16cid:durableId="1676613046">
    <w:abstractNumId w:val="6"/>
  </w:num>
  <w:num w:numId="3" w16cid:durableId="784736931">
    <w:abstractNumId w:val="5"/>
  </w:num>
  <w:num w:numId="4" w16cid:durableId="793601390">
    <w:abstractNumId w:val="4"/>
  </w:num>
  <w:num w:numId="5" w16cid:durableId="2137793925">
    <w:abstractNumId w:val="7"/>
  </w:num>
  <w:num w:numId="6" w16cid:durableId="247347905">
    <w:abstractNumId w:val="3"/>
  </w:num>
  <w:num w:numId="7" w16cid:durableId="848447006">
    <w:abstractNumId w:val="2"/>
  </w:num>
  <w:num w:numId="8" w16cid:durableId="278487287">
    <w:abstractNumId w:val="1"/>
  </w:num>
  <w:num w:numId="9" w16cid:durableId="75445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66DC"/>
    <w:rsid w:val="006A15EF"/>
    <w:rsid w:val="00AA1D8D"/>
    <w:rsid w:val="00AA63C9"/>
    <w:rsid w:val="00B47730"/>
    <w:rsid w:val="00CB0664"/>
    <w:rsid w:val="00D35D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88FD30"/>
  <w14:defaultImageDpi w14:val="300"/>
  <w15:docId w15:val="{15BBF8EA-8737-4671-8D34-455A9E7F2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830</Words>
  <Characters>4985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cp:revision>
  <dcterms:created xsi:type="dcterms:W3CDTF">2013-12-23T23:15:00Z</dcterms:created>
  <dcterms:modified xsi:type="dcterms:W3CDTF">2026-07-15T11:04:00Z</dcterms:modified>
  <cp:category/>
</cp:coreProperties>
</file>