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2A44"/>
          <w:sz w:val="56"/>
        </w:rPr>
        <w:t>CRU2026</w:t>
      </w:r>
    </w:p>
    <w:p>
      <w:pPr>
        <w:spacing w:after="280"/>
      </w:pPr>
      <w:r>
        <w:rPr>
          <w:b w:val="0"/>
          <w:color w:val="2B57A6"/>
          <w:sz w:val="30"/>
        </w:rPr>
        <w:t>Raport wersji / Dziennik zmian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/>
            <w:r>
              <w:rPr>
                <w:b/>
                <w:sz w:val="20"/>
              </w:rPr>
              <w:t>Programista: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Mateusz Mazur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20"/>
              </w:rPr>
              <w:t>Wersja: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0.3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20"/>
              </w:rPr>
              <w:t>Okres developmentu: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01.09.2026  –  18.09.2026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20"/>
              </w:rPr>
              <w:t>Data wydania: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18.09.2026</w:t>
            </w:r>
          </w:p>
        </w:tc>
      </w:tr>
    </w:tbl>
    <w:p>
      <w:pPr>
        <w:spacing w:before="280" w:after="120"/>
      </w:pPr>
      <w:r>
        <w:rPr>
          <w:b/>
          <w:color w:val="1F2A44"/>
          <w:sz w:val="28"/>
        </w:rPr>
        <w:t>Historia wersji</w:t>
      </w:r>
    </w:p>
    <w:p>
      <w:pPr>
        <w:spacing w:after="80"/>
      </w:pPr>
      <w:r>
        <w:rPr>
          <w:b w:val="0"/>
          <w:sz w:val="22"/>
        </w:rPr>
        <w:t>Pełny rejestr wszystkich wydanych wersji - najnowsza na górze.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08"/>
          </w:tcPr>
          <w:p>
            <w:r/>
            <w:r>
              <w:rPr>
                <w:b/>
                <w:sz w:val="20"/>
              </w:rPr>
              <w:t>Wersja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20"/>
              </w:rPr>
              <w:t>Okres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Krótkie podsumowanie zmian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0.3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01.09.2026 - 18.09.2026</w:t>
            </w:r>
          </w:p>
        </w:tc>
        <w:tc>
          <w:tcPr>
            <w:tcW w:type="dxa" w:w="1296"/>
          </w:tcPr>
          <w:p>
            <w:r/>
            <w:r>
              <w:rPr>
                <w:sz w:val="20"/>
              </w:rPr>
              <w:t>18.09.2026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Pełny stos zapisu dla trzech rejestrów oddany do repozytorium. Komplet 34 specyfikacji funkcji wyprowadzonych ze zrzutu starego systemu - wraz z wykryciem kilkunastu rozbieżności, o których wcześniej nie wiedzieliśmy.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0.2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27.08.2026 - 31.08.2026</w:t>
            </w:r>
          </w:p>
        </w:tc>
        <w:tc>
          <w:tcPr>
            <w:tcW w:type="dxa" w:w="1296"/>
          </w:tcPr>
          <w:p>
            <w:r/>
            <w:r>
              <w:rPr>
                <w:sz w:val="20"/>
              </w:rPr>
              <w:t>31.08.2026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Zmiana kierunku: własna baza danych i migracja danych ze starego systemu.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0.1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15.07.2026 - 31.07.2026</w:t>
            </w:r>
          </w:p>
        </w:tc>
        <w:tc>
          <w:tcPr>
            <w:tcW w:type="dxa" w:w="1296"/>
          </w:tcPr>
          <w:p>
            <w:r/>
            <w:r>
              <w:rPr>
                <w:sz w:val="20"/>
              </w:rPr>
              <w:t>31.07.2026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Utworzenie projektu, dokumentacji i szkieletu aplikacji.</w:t>
            </w:r>
          </w:p>
        </w:tc>
      </w:tr>
    </w:tbl>
    <w:p>
      <w:pPr>
        <w:spacing w:before="200" w:after="80"/>
      </w:pPr>
      <w:r>
        <w:rPr>
          <w:b/>
          <w:color w:val="1F2A44"/>
          <w:sz w:val="32"/>
        </w:rPr>
        <w:t>Zmiany w wersji 0.3</w:t>
      </w:r>
    </w:p>
    <w:p>
      <w:pPr>
        <w:spacing w:before="240" w:after="40"/>
      </w:pPr>
      <w:r>
        <w:rPr>
          <w:b/>
          <w:color w:val="2B57A6"/>
          <w:sz w:val="26"/>
        </w:rPr>
        <w:t>Aplikacja - rejestry i formularz</w:t>
      </w:r>
    </w:p>
    <w:p>
      <w:pPr>
        <w:spacing w:after="80"/>
      </w:pPr>
      <w:r>
        <w:rPr>
          <w:b w:val="0"/>
          <w:sz w:val="22"/>
        </w:rPr>
        <w:t>Kod, który powstawał od 31.08, trafił do repozytorium jako spójna całość.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7200"/>
          </w:tcPr>
          <w:p>
            <w:r/>
            <w:r>
              <w:rPr>
                <w:b/>
                <w:sz w:val="20"/>
              </w:rPr>
              <w:t>Opis zmiany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Nowa funkcja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Trzy rejestry - Umowy, Projekty i Dział ryzyka - z filtrami, stronicowaniem i wyborem kolumn. Wszystkie trzy korzystają z jednej tabeli danych, rozróżnianej rodzajem statusu.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Nowa funkcja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Wspólny formularz dodawania i edycji wpisu: aneksy, załączniki, wybór kontrahenta, właściciele i prawo edycji.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Nowa funkcja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Podgląd rekordu przeniesiony do jednego komponentu współdzielonego przez wszystkie trzy moduły.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Nowa funkcja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Siedem modułów pomocniczych w trybie odczytu: Kontrahenci, Grupy, Lokalizacje, Dostępy, Raporty, Mailing oraz podgląd załączników.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Nowa funkcja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Generowanie numeru umowy, uprawnienia do zapisu i dostęp do rekordu wydzielone do osobnych modułów.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Poprawka błędu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Migracja zakładająca sekwencje identyfikatorów - bez niej aplikacja nie potrafiła wstawić ani jednego nowego rekordu po imporcie danych historycznych.</w:t>
            </w:r>
          </w:p>
        </w:tc>
      </w:tr>
    </w:tbl>
    <w:p>
      <w:pPr>
        <w:spacing w:before="240" w:after="40"/>
      </w:pPr>
      <w:r>
        <w:rPr>
          <w:b/>
          <w:color w:val="2B57A6"/>
          <w:sz w:val="26"/>
        </w:rPr>
        <w:t>Dokumentacja funkcji - komplet 34 specyfikacji</w:t>
      </w:r>
    </w:p>
    <w:p>
      <w:pPr>
        <w:spacing w:after="80"/>
      </w:pPr>
      <w:r>
        <w:rPr>
          <w:b w:val="0"/>
          <w:sz w:val="22"/>
        </w:rPr>
        <w:t>Najważniejsza część tej wersji. Dla każdej funkcji starego systemu powstał osobny dokument opisujący, co ta funkcja robiła, jakie dane za nią stoją, co odtwarzamy, co świadomie zmieniamy i jak to sprawdzić.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7200"/>
          </w:tcPr>
          <w:p>
            <w:r/>
            <w:r>
              <w:rPr>
                <w:b/>
                <w:sz w:val="20"/>
              </w:rPr>
              <w:t>Opis zmiany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Nowa dokumentacja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34 specyfikacje w katalogu docs/features, łącznie ok. 11 800 wierszy. Każda zawiera: uzasadnienie, zachowanie starego systemu, dane z liczbami, listę rozbieżności, opis ekranów, plan wdrożenia i zapytania weryfikujące.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Analiza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Źródłem jest wyłącznie zrzut bazy (45,7 MB), eksport 39 281 plików (49 GB), audyt starej strony oraz obecny kod. Wszystko, czego nie dało się potwierdzić, jest wprost oznaczone jako niepotwierdzone.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Analiza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Osiem z dziesięciu modułów starego systemu nigdy nie zostało zobaczonych - konto audytowe dostawało komunikat o braku dostępu. Ich opisy są wyprowadzone ze schematu i danych, co jest zaznaczone na początku każdego z nich.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Weryfikacja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Wszystkie 35 tabel starego systemu i wszystkie 32 modele nowej bazy są pokryte co najmniej jedną specyfikacją. Zależności między dokumentami sprawdzone, trzy dokumenty przeliczone ponownie na żywej bazie - liczby zgadzają się co do wiersza.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Organizacja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Ukończenie funkcji oznaczamy polem w nagłówku dokumentu, a nie zmianą nazwy pliku - dzięki temu odnośniki i historia zmian pozostają nienaruszone.</w:t>
            </w:r>
          </w:p>
        </w:tc>
      </w:tr>
    </w:tbl>
    <w:p>
      <w:pPr>
        <w:spacing w:before="240" w:after="40"/>
      </w:pPr>
      <w:r>
        <w:rPr>
          <w:b/>
          <w:color w:val="2B57A6"/>
          <w:sz w:val="26"/>
        </w:rPr>
        <w:t>Ustalenia z analizy danych</w:t>
      </w:r>
    </w:p>
    <w:p>
      <w:pPr>
        <w:spacing w:after="80"/>
      </w:pPr>
      <w:r>
        <w:rPr>
          <w:b w:val="0"/>
          <w:sz w:val="22"/>
        </w:rPr>
        <w:t>Rzeczy, o których nie wiedzieliśmy, a które zmieniają zakres prac. Każda jest potwierdzona liczbami z bazy.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</w:tcPr>
          <w:p>
            <w:r/>
            <w:r>
              <w:rPr>
                <w:b/>
                <w:sz w:val="20"/>
              </w:rPr>
              <w:t>Obszar</w:t>
            </w:r>
          </w:p>
        </w:tc>
        <w:tc>
          <w:tcPr>
            <w:tcW w:type="dxa" w:w="6912"/>
          </w:tcPr>
          <w:p>
            <w:r/>
            <w:r>
              <w:rPr>
                <w:b/>
                <w:sz w:val="20"/>
              </w:rPr>
              <w:t>Ustalenie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Terminy umów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Stary system zapisuje datę 31.12.2099 w znaczeniu „na czas nieokreślony” - 7 442 wystąpienia w zrzucie, 4 119 żywych rekordów, z czego 1 638 to umowy wciąż obowiązujące. Dziś pokazujemy tę datę dosłownie. Umów bezterminowych w mocy jest 1 683, a nie 45, jak wynikało z wcześniejszej analizy.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Zamykanie umów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Umowy zamykała procedura w bazie, uruchamiana codziennie od 2017 roku. Nie zapisywała historii - 4 596 umów trafiło do statusu „Zakończona” bez żadnego śladu w dzienniku zmian. Procedura porównywała datę na równość, więc każdy pominięty dzień przepadał na zawsze: 173 umowy do dziś figurują jako obowiązujące, najstarsza wygasła 30.04.2015.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Aneksy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Aneksów jest 3 038, a nie 10 167, jak dotąd zakładaliśmy. Pole wiążące rekordy ma dwa znaczenia: na umowie „aneks do”, na projekcie „stał się”. Kolumna „Aneks” w rejestrze liczy więc projekty jako aneksy.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Obieg opinii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Jeden wiersz w tabeli opinii to jedna osoba poproszona o opinię, a nie jedna opinia danego rodzaju. Czeka 3 702 nierozpatrzonych próśb, ale 78 % z nich wisi na rekordach już zamkniętych - realna lista zaległości to 645 pozycji.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Formularz akceptacji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Tabela formularza akceptacji ma jeden prawdziwy wiersz z kwietnia 2020 i nigdy więcej nie była używana. Żywa ścieżka MDR to trzy znaczniki przy opinii właściciela umowy - wszystkie 3 715 deklaracji siedzi tam.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Kontrahenci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177 numerów NIP jest przypisanych do więcej niż jednego kontrahenta - 137 podwójnie, 17 potrójnie, 2 poczwórnie. To ten sam podmiot wpisany kilka razy, z umowami rozrzuconymi po kopiach.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Dane osobowe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Tabela mailingowa zawiera 275 prawdziwych nazwisk i 269 firmowych adresów e-mail. To jedyne miejsce w całym zrzucie, gdzie nazwisko spotyka się z adresem, i nic tego dotąd nie czytało.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Załączniki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23 załączniki widoczne na żywych rekordach mają zero bajtów, 8 wierszy nie ma pliku, 17 plików nie ma wiersza, a 7 jest osiągalnych tylko po pominięciu rozszerzenia. Te cztery liczby są jednocześnie kryterium poprawności kopii zapasowej.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Supply chain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Moduł nie ma tabeli w bazie - ani jednej z 35. Istnieje pozycja w menu, trasa bramkowana rolą, raport i trzy grupy użytkowników. Hipoteza warta sprawdzenia w pierwszej kolejności: tabele mogą leżeć w innej bazie na tym samym serwerze.</w:t>
            </w:r>
          </w:p>
        </w:tc>
      </w:tr>
    </w:tbl>
    <w:p>
      <w:pPr>
        <w:spacing w:before="240" w:after="40"/>
      </w:pPr>
      <w:r>
        <w:rPr>
          <w:b/>
          <w:color w:val="1F2A44"/>
          <w:sz w:val="26"/>
        </w:rPr>
        <w:t>Bezpieczeństwo</w:t>
      </w:r>
    </w:p>
    <w:p>
      <w:pPr>
        <w:spacing w:after="80"/>
      </w:pPr>
      <w:r>
        <w:rPr>
          <w:b w:val="0"/>
          <w:sz w:val="22"/>
        </w:rPr>
        <w:t>Trzy luki wykryte podczas analizy. Żadna nie wymaga pomysłowości, żeby ją wykorzystać. Wszystkie do naprawy przed uruchomieniem produkcyjnym.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40"/>
          </w:tcPr>
          <w:p>
            <w:r/>
            <w:r>
              <w:rPr>
                <w:b/>
                <w:sz w:val="20"/>
              </w:rPr>
              <w:t>Waga</w:t>
            </w:r>
          </w:p>
        </w:tc>
        <w:tc>
          <w:tcPr>
            <w:tcW w:type="dxa" w:w="7344"/>
          </w:tcPr>
          <w:p>
            <w:r/>
            <w:r>
              <w:rPr>
                <w:b/>
                <w:sz w:val="20"/>
              </w:rPr>
              <w:t>Opis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Krytyczna</w:t>
            </w:r>
          </w:p>
        </w:tc>
        <w:tc>
          <w:tcPr>
            <w:tcW w:type="dxa" w:w="7344"/>
          </w:tcPr>
          <w:p>
            <w:r/>
            <w:r>
              <w:rPr>
                <w:sz w:val="20"/>
              </w:rPr>
              <w:t>Ekran Dostępy pokazuje mapę uprawnień całej organizacji każdej zalogowanej osobie - wystarczy otworzyć stronę. To samo dotyczy ekranów Grupy i Lokalizacje. Poprawka to po dwie linijki na ekran.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Krytyczna</w:t>
            </w:r>
          </w:p>
        </w:tc>
        <w:tc>
          <w:tcPr>
            <w:tcW w:type="dxa" w:w="7344"/>
          </w:tcPr>
          <w:p>
            <w:r/>
            <w:r>
              <w:rPr>
                <w:sz w:val="20"/>
              </w:rPr>
              <w:t>Pobieranie załącznika nie sprawdza, do którego rekordu plik należy. Po wdrożeniu warstwy uprawnień osoba bez dostępu do umowy nadal pobierze jej dokumenty, mając sam odnośnik.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Wysoka</w:t>
            </w:r>
          </w:p>
        </w:tc>
        <w:tc>
          <w:tcPr>
            <w:tcW w:type="dxa" w:w="7344"/>
          </w:tcPr>
          <w:p>
            <w:r/>
            <w:r>
              <w:rPr>
                <w:sz w:val="20"/>
              </w:rPr>
              <w:t>Warstwa uprawnień do odczytu nie istnieje - dane o zakresach dostępu są zaimportowane i wyświetlane, ale nigdy nieegzekwowane. Każda zalogowana osoba widzi cały rejestr.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Średnia</w:t>
            </w:r>
          </w:p>
        </w:tc>
        <w:tc>
          <w:tcPr>
            <w:tcW w:type="dxa" w:w="7344"/>
          </w:tcPr>
          <w:p>
            <w:r/>
            <w:r>
              <w:rPr>
                <w:sz w:val="20"/>
              </w:rPr>
              <w:t>Słownik kontrahentów, od którego zależą wszystkie 20 137 rekordów, może dziś zapisywać każda zalogowana osoba, bez żadnej kontroli.</w:t>
            </w:r>
          </w:p>
        </w:tc>
      </w:tr>
    </w:tbl>
    <w:p>
      <w:pPr>
        <w:spacing w:before="240" w:after="40"/>
      </w:pPr>
      <w:r>
        <w:rPr>
          <w:b/>
          <w:color w:val="1F2A44"/>
          <w:sz w:val="26"/>
        </w:rPr>
        <w:t>Proces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7200"/>
          </w:tcPr>
          <w:p>
            <w:r/>
            <w:r>
              <w:rPr>
                <w:b/>
                <w:sz w:val="20"/>
              </w:rPr>
              <w:t>Opis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Ustalenie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Krok 0b pierwotnego planu - dokument zakresu kopii i jawna akceptacja przed napisaniem jakiegokolwiek kodu produkcyjnego - nigdy się nie odbył. Komplet 34 specyfikacji jest w istocie tym dokumentem; brakuje drugiej połowy, czyli akceptacji zakresu.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Korekta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Dwie liczby podawane wcześniej w dokumentacji projektu okazały się błędne i zostały poprawione: powiadomień nieprzeczytanych jest 750, a nie 13 933 (13 933 to liczba przeczytanych), a aneksów 3 038, a nie 10 167.</w:t>
            </w:r>
          </w:p>
        </w:tc>
      </w:tr>
    </w:tbl>
    <w:p>
      <w:pPr>
        <w:spacing w:before="320" w:after="120"/>
      </w:pPr>
      <w:r>
        <w:rPr>
          <w:b/>
          <w:color w:val="1F2A44"/>
          <w:sz w:val="26"/>
        </w:rPr>
        <w:t>Znane problemy / prace w toku</w:t>
      </w:r>
    </w:p>
    <w:p>
      <w:pPr>
        <w:pStyle w:val="ListBullet"/>
      </w:pPr>
      <w:r>
        <w:rPr>
          <w:sz w:val="22"/>
        </w:rPr>
        <w:t>Eksport katalogu użytkowników z systemu firmowego - bez niego 451 z 452 osób to zaślepki i zalogować się może wyłącznie konto serwisowe. Prośba została zawężona: wystarczą dwie kolumny, identyfikator i login, bo nazwiska i adresy dla 275 osób już mamy w bazie.</w:t>
      </w:r>
    </w:p>
    <w:p>
      <w:pPr>
        <w:pStyle w:val="ListBullet"/>
      </w:pPr>
      <w:r>
        <w:rPr>
          <w:sz w:val="22"/>
        </w:rPr>
        <w:t>Nierozstrzygnięte, gdzie stanie środowisko produkcyjne - odpowiedź zapowiedziana na przyszły tydzień. Od tego zależy harmonogram zadań, miejsce na 49 GB plików i możliwość integracji z podpisem elektronicznym.</w:t>
      </w:r>
    </w:p>
    <w:p>
      <w:pPr>
        <w:pStyle w:val="ListBullet"/>
      </w:pPr>
      <w:r>
        <w:rPr>
          <w:sz w:val="22"/>
        </w:rPr>
        <w:t>38 rekordów nie da się dzisiaj zapisać - opis pola OBSC sięga w danych 1 926 znaków, a walidacja formularza tnie na 500 i zwraca błąd zamiast skrócić.</w:t>
      </w:r>
    </w:p>
    <w:p>
      <w:pPr>
        <w:pStyle w:val="ListBullet"/>
      </w:pPr>
      <w:r>
        <w:rPr>
          <w:sz w:val="22"/>
        </w:rPr>
        <w:t>Brak jakiejkolwiek kopii zapasowej. 49 GB dokumentów leży w jednym katalogu na jednej maszynie; bazę da się odtworzyć ze zrzutu, plików nie.</w:t>
      </w:r>
    </w:p>
    <w:p>
      <w:pPr>
        <w:pStyle w:val="ListBullet"/>
      </w:pPr>
      <w:r>
        <w:rPr>
          <w:sz w:val="22"/>
        </w:rPr>
        <w:t>Polecenie sprawdzające jakość kodu (lint) w ogóle nie działa - niezgodne wersje narzędzi. Nie ma też żadnych testów automatycznych ani ciągłej integracji.</w:t>
      </w:r>
    </w:p>
    <w:p>
      <w:pPr>
        <w:pStyle w:val="ListBullet"/>
      </w:pPr>
      <w:r>
        <w:rPr>
          <w:sz w:val="22"/>
        </w:rPr>
        <w:t>Skrypt uruchomieniowy pomija migracje bazy, więc świeże środowisko nie zapisze ani jednego rekordu. U nas było to niewidoczne, bo sekwencje założono raz ręcznie.</w:t>
      </w:r>
    </w:p>
    <w:p>
      <w:pPr>
        <w:pStyle w:val="ListBullet"/>
      </w:pPr>
      <w:r>
        <w:rPr>
          <w:sz w:val="22"/>
        </w:rPr>
        <w:t>Zrzut bazy pochodzi z 10.08.2026 - wszystko wpisane w starym systemie od tamtej pory jest poza naszą kopią. Przed przełączeniem konieczny świeży eksport.</w:t>
      </w:r>
    </w:p>
    <w:p>
      <w:pPr>
        <w:pStyle w:val="ListBullet"/>
      </w:pPr>
      <w:r>
        <w:rPr>
          <w:sz w:val="22"/>
        </w:rPr>
        <w:t>Konto Adobe Acrobat Sign i poziom podpisu elektronicznego - odłożone świadomie na później, po uruchomieniu całości systemu.</w:t>
      </w:r>
    </w:p>
    <w:p>
      <w:pPr>
        <w:pStyle w:val="ListBullet"/>
      </w:pPr>
      <w:r>
        <w:rPr>
          <w:sz w:val="22"/>
        </w:rPr>
        <w:t>98 pytań otwartych zebranych w jednym miejscu (docs/features/README.md), z podziałem na blokujące, wymagające akceptacji i wymagające potwierdzenia z użytkownikiem starego systemu.</w:t>
      </w:r>
    </w:p>
    <w:p>
      <w:pPr>
        <w:spacing w:before="320" w:after="120"/>
      </w:pPr>
      <w:r>
        <w:rPr>
          <w:b/>
          <w:color w:val="1F2A44"/>
          <w:sz w:val="26"/>
        </w:rPr>
        <w:t>Plany na kolejne tygodnie</w:t>
      </w:r>
    </w:p>
    <w:p>
      <w:pPr>
        <w:pStyle w:val="ListBullet"/>
      </w:pPr>
      <w:r>
        <w:rPr>
          <w:sz w:val="22"/>
        </w:rPr>
        <w:t>Akceptacja zakresu na podstawie kompletu specyfikacji - zamknięcie kroku, który pierwotnie miał poprzedzać pisanie kodu.</w:t>
      </w:r>
    </w:p>
    <w:p>
      <w:pPr>
        <w:pStyle w:val="ListBullet"/>
      </w:pPr>
      <w:r>
        <w:rPr>
          <w:sz w:val="22"/>
        </w:rPr>
        <w:t>Naprawa trzech luk w uprawnieniach: ekrany administracyjne tylko dla administratora, sprawdzanie dostępu przy pobieraniu pliku, egzekwowanie zakresów widoczności.</w:t>
      </w:r>
    </w:p>
    <w:p>
      <w:pPr>
        <w:pStyle w:val="ListBullet"/>
      </w:pPr>
      <w:r>
        <w:rPr>
          <w:sz w:val="22"/>
        </w:rPr>
        <w:t>Ponowny import danych - odzyskanie dwóch kolumn spłaszczonych przy pierwszym przebiegu i doimportowanie trzech pominiętych słowników. Im później, tym drożej.</w:t>
      </w:r>
    </w:p>
    <w:p>
      <w:pPr>
        <w:pStyle w:val="ListBullet"/>
      </w:pPr>
      <w:r>
        <w:rPr>
          <w:sz w:val="22"/>
        </w:rPr>
        <w:t>Uzupełnienie brakujących podsystemów, dla których dane są w bazie, a ekranów nie ma: historia zmian (237 405 wpisów), notatki (50 737), powiadomienia i obieg opinii (16 531).</w:t>
      </w:r>
    </w:p>
    <w:p>
      <w:pPr>
        <w:pStyle w:val="ListBullet"/>
      </w:pPr>
      <w:r>
        <w:rPr>
          <w:sz w:val="22"/>
        </w:rPr>
        <w:t>Ujednolicenie powtarzającego się kodu ekranów rejestrów - jedna implementacja zamiast trzech.</w:t>
      </w:r>
    </w:p>
    <w:p>
      <w:pPr>
        <w:pStyle w:val="ListBullet"/>
      </w:pPr>
      <w:r>
        <w:rPr>
          <w:sz w:val="22"/>
        </w:rPr>
        <w:t>Eksport danych do Excela z zachowaniem filtrów i uprawnień - to, czego naprawdę oczekują użytkownicy raportów.</w:t>
      </w:r>
    </w:p>
    <w:p>
      <w:pPr>
        <w:pStyle w:val="ListBullet"/>
      </w:pPr>
      <w:r>
        <w:rPr>
          <w:sz w:val="22"/>
        </w:rPr>
        <w:t>Kopie zapasowe wraz z próbnym odtworzeniem, oraz testy automatyczne dla miejsc, w których pomyłka jest kosztowna i niewidoczna.</w:t>
      </w:r>
    </w:p>
    <w:p>
      <w:pPr>
        <w:spacing w:after="3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92"/>
          </w:tcPr>
          <w:p>
            <w:r/>
            <w:r>
              <w:rPr>
                <w:sz w:val="20"/>
              </w:rPr>
              <w:t>Sporządził:  Mateusz Mazur</w:t>
            </w:r>
          </w:p>
        </w:tc>
        <w:tc>
          <w:tcPr>
            <w:tcW w:type="dxa" w:w="4392"/>
          </w:tcPr>
          <w:p>
            <w:r/>
            <w:r>
              <w:rPr>
                <w:sz w:val="20"/>
              </w:rPr>
              <w:t>Zatwierdził:  ______________________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