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95F2" w14:textId="77777777" w:rsidR="00897A51" w:rsidRDefault="00000000">
      <w:r>
        <w:rPr>
          <w:b/>
          <w:color w:val="1F2A44"/>
          <w:sz w:val="56"/>
        </w:rPr>
        <w:t>CRU2026</w:t>
      </w:r>
    </w:p>
    <w:p w14:paraId="6000226E" w14:textId="77777777" w:rsidR="00897A51" w:rsidRDefault="00000000">
      <w:pPr>
        <w:spacing w:after="280"/>
      </w:pPr>
      <w:r>
        <w:rPr>
          <w:color w:val="2B57A6"/>
          <w:sz w:val="30"/>
        </w:rPr>
        <w:t>Raport wersji / Dziennik zmian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36"/>
        <w:gridCol w:w="6048"/>
      </w:tblGrid>
      <w:tr w:rsidR="00897A51" w14:paraId="4D99D0BA" w14:textId="77777777">
        <w:tc>
          <w:tcPr>
            <w:tcW w:w="2736" w:type="dxa"/>
          </w:tcPr>
          <w:p w14:paraId="0035B4AD" w14:textId="77777777" w:rsidR="00897A51" w:rsidRDefault="00000000">
            <w:r>
              <w:rPr>
                <w:b/>
                <w:sz w:val="20"/>
              </w:rPr>
              <w:t>Programista:</w:t>
            </w:r>
          </w:p>
        </w:tc>
        <w:tc>
          <w:tcPr>
            <w:tcW w:w="6048" w:type="dxa"/>
          </w:tcPr>
          <w:p w14:paraId="2760F4BD" w14:textId="77777777" w:rsidR="00897A51" w:rsidRDefault="00000000">
            <w:r>
              <w:rPr>
                <w:sz w:val="20"/>
              </w:rPr>
              <w:t>Mateusz Mazur</w:t>
            </w:r>
          </w:p>
        </w:tc>
      </w:tr>
      <w:tr w:rsidR="00897A51" w14:paraId="1D46A9B8" w14:textId="77777777">
        <w:tc>
          <w:tcPr>
            <w:tcW w:w="2736" w:type="dxa"/>
          </w:tcPr>
          <w:p w14:paraId="20E93E2C" w14:textId="77777777" w:rsidR="00897A51" w:rsidRDefault="00000000">
            <w:r>
              <w:rPr>
                <w:b/>
                <w:sz w:val="20"/>
              </w:rPr>
              <w:t>Wersja:</w:t>
            </w:r>
          </w:p>
        </w:tc>
        <w:tc>
          <w:tcPr>
            <w:tcW w:w="6048" w:type="dxa"/>
          </w:tcPr>
          <w:p w14:paraId="2F02E637" w14:textId="77777777" w:rsidR="00897A51" w:rsidRDefault="00000000">
            <w:r>
              <w:rPr>
                <w:sz w:val="20"/>
              </w:rPr>
              <w:t>0.3</w:t>
            </w:r>
          </w:p>
        </w:tc>
      </w:tr>
      <w:tr w:rsidR="00897A51" w14:paraId="49B0D33F" w14:textId="77777777">
        <w:tc>
          <w:tcPr>
            <w:tcW w:w="2736" w:type="dxa"/>
          </w:tcPr>
          <w:p w14:paraId="3AE9B43D" w14:textId="77777777" w:rsidR="00897A51" w:rsidRDefault="00000000">
            <w:r>
              <w:rPr>
                <w:b/>
                <w:sz w:val="20"/>
              </w:rPr>
              <w:t>Okres developmentu:</w:t>
            </w:r>
          </w:p>
        </w:tc>
        <w:tc>
          <w:tcPr>
            <w:tcW w:w="6048" w:type="dxa"/>
          </w:tcPr>
          <w:p w14:paraId="32B44B12" w14:textId="77777777" w:rsidR="00897A51" w:rsidRDefault="00000000">
            <w:r>
              <w:rPr>
                <w:sz w:val="20"/>
              </w:rPr>
              <w:t>01.09.2026  –  07.10.2026</w:t>
            </w:r>
          </w:p>
        </w:tc>
      </w:tr>
      <w:tr w:rsidR="00897A51" w14:paraId="6CC4E1C8" w14:textId="77777777">
        <w:tc>
          <w:tcPr>
            <w:tcW w:w="2736" w:type="dxa"/>
          </w:tcPr>
          <w:p w14:paraId="1FA4EC55" w14:textId="77777777" w:rsidR="00897A51" w:rsidRDefault="00000000">
            <w:r>
              <w:rPr>
                <w:b/>
                <w:sz w:val="20"/>
              </w:rPr>
              <w:t>Data wydania:</w:t>
            </w:r>
          </w:p>
        </w:tc>
        <w:tc>
          <w:tcPr>
            <w:tcW w:w="6048" w:type="dxa"/>
          </w:tcPr>
          <w:p w14:paraId="150B478E" w14:textId="77777777" w:rsidR="00897A51" w:rsidRDefault="00000000">
            <w:r>
              <w:rPr>
                <w:sz w:val="20"/>
              </w:rPr>
              <w:t>07.10.2026</w:t>
            </w:r>
          </w:p>
        </w:tc>
      </w:tr>
    </w:tbl>
    <w:p w14:paraId="5816B5A2" w14:textId="77777777" w:rsidR="00897A51" w:rsidRDefault="00000000">
      <w:pPr>
        <w:spacing w:before="280" w:after="120"/>
      </w:pPr>
      <w:r>
        <w:rPr>
          <w:b/>
          <w:color w:val="1F2A44"/>
          <w:sz w:val="28"/>
        </w:rPr>
        <w:t>Historia wersji</w:t>
      </w:r>
    </w:p>
    <w:p w14:paraId="7A42EAFA" w14:textId="77777777" w:rsidR="00897A51" w:rsidRDefault="00000000">
      <w:pPr>
        <w:spacing w:after="80"/>
      </w:pPr>
      <w:r>
        <w:t>Pełny rejestr wszystkich wydanych wersji - najnowsza na górze.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97"/>
        <w:gridCol w:w="2383"/>
        <w:gridCol w:w="1288"/>
        <w:gridCol w:w="4188"/>
      </w:tblGrid>
      <w:tr w:rsidR="00897A51" w14:paraId="08BD3470" w14:textId="77777777">
        <w:tc>
          <w:tcPr>
            <w:tcW w:w="1008" w:type="dxa"/>
          </w:tcPr>
          <w:p w14:paraId="743D84EF" w14:textId="77777777" w:rsidR="00897A51" w:rsidRDefault="00000000">
            <w:r>
              <w:rPr>
                <w:b/>
                <w:sz w:val="20"/>
              </w:rPr>
              <w:t>Wersja</w:t>
            </w:r>
          </w:p>
        </w:tc>
        <w:tc>
          <w:tcPr>
            <w:tcW w:w="2448" w:type="dxa"/>
          </w:tcPr>
          <w:p w14:paraId="7721B86F" w14:textId="77777777" w:rsidR="00897A51" w:rsidRDefault="00000000">
            <w:r>
              <w:rPr>
                <w:b/>
                <w:sz w:val="20"/>
              </w:rPr>
              <w:t>Okres</w:t>
            </w:r>
          </w:p>
        </w:tc>
        <w:tc>
          <w:tcPr>
            <w:tcW w:w="1296" w:type="dxa"/>
          </w:tcPr>
          <w:p w14:paraId="63AD8504" w14:textId="77777777" w:rsidR="00897A51" w:rsidRDefault="00000000">
            <w:r>
              <w:rPr>
                <w:b/>
                <w:sz w:val="20"/>
              </w:rPr>
              <w:t>Data</w:t>
            </w:r>
          </w:p>
        </w:tc>
        <w:tc>
          <w:tcPr>
            <w:tcW w:w="4320" w:type="dxa"/>
          </w:tcPr>
          <w:p w14:paraId="12D4CCB0" w14:textId="77777777" w:rsidR="00897A51" w:rsidRDefault="00000000">
            <w:r>
              <w:rPr>
                <w:b/>
                <w:sz w:val="20"/>
              </w:rPr>
              <w:t>Krótkie podsumowanie zmian</w:t>
            </w:r>
          </w:p>
        </w:tc>
      </w:tr>
      <w:tr w:rsidR="00897A51" w14:paraId="7A2234DE" w14:textId="77777777">
        <w:tc>
          <w:tcPr>
            <w:tcW w:w="1008" w:type="dxa"/>
          </w:tcPr>
          <w:p w14:paraId="5D915E83" w14:textId="77777777" w:rsidR="00897A51" w:rsidRDefault="00000000">
            <w:r>
              <w:rPr>
                <w:sz w:val="20"/>
              </w:rPr>
              <w:t>0.3</w:t>
            </w:r>
          </w:p>
        </w:tc>
        <w:tc>
          <w:tcPr>
            <w:tcW w:w="2448" w:type="dxa"/>
          </w:tcPr>
          <w:p w14:paraId="2CE3BFC7" w14:textId="77777777" w:rsidR="00897A51" w:rsidRDefault="00000000">
            <w:r>
              <w:rPr>
                <w:sz w:val="20"/>
              </w:rPr>
              <w:t>01.09.2026 - 07.10.2026</w:t>
            </w:r>
          </w:p>
        </w:tc>
        <w:tc>
          <w:tcPr>
            <w:tcW w:w="1296" w:type="dxa"/>
          </w:tcPr>
          <w:p w14:paraId="3840F642" w14:textId="77777777" w:rsidR="00897A51" w:rsidRDefault="00000000">
            <w:r>
              <w:rPr>
                <w:sz w:val="20"/>
              </w:rPr>
              <w:t>07.10.2026</w:t>
            </w:r>
          </w:p>
        </w:tc>
        <w:tc>
          <w:tcPr>
            <w:tcW w:w="4320" w:type="dxa"/>
          </w:tcPr>
          <w:p w14:paraId="2F3407F6" w14:textId="77777777" w:rsidR="00897A51" w:rsidRDefault="00000000">
            <w:r>
              <w:rPr>
                <w:sz w:val="20"/>
              </w:rPr>
              <w:t>Pełny stos zapisu dla trzech rejestrów oddany do repozytorium. Komplet 34 specyfikacji funkcji wyprowadzonych ze zrzutu starego systemu - wraz z wykryciem kilkunastu rozbieżności, o których wcześniej nie wiedzieliśmy. Zabezpieczone logowanie i środowisko testowe dostępne dla testerów pod stałym adresem w chmurze (Vercel, baza Neon w UE) - także z sieci firmowej.</w:t>
            </w:r>
          </w:p>
        </w:tc>
      </w:tr>
      <w:tr w:rsidR="00897A51" w14:paraId="359DA6BA" w14:textId="77777777">
        <w:tc>
          <w:tcPr>
            <w:tcW w:w="1008" w:type="dxa"/>
          </w:tcPr>
          <w:p w14:paraId="0D5313F3" w14:textId="77777777" w:rsidR="00897A51" w:rsidRDefault="00000000">
            <w:r>
              <w:rPr>
                <w:sz w:val="20"/>
              </w:rPr>
              <w:t>0.2</w:t>
            </w:r>
          </w:p>
        </w:tc>
        <w:tc>
          <w:tcPr>
            <w:tcW w:w="2448" w:type="dxa"/>
          </w:tcPr>
          <w:p w14:paraId="473108F3" w14:textId="77777777" w:rsidR="00897A51" w:rsidRDefault="00000000">
            <w:r>
              <w:rPr>
                <w:sz w:val="20"/>
              </w:rPr>
              <w:t>27.08.2026 - 31.08.2026</w:t>
            </w:r>
          </w:p>
        </w:tc>
        <w:tc>
          <w:tcPr>
            <w:tcW w:w="1296" w:type="dxa"/>
          </w:tcPr>
          <w:p w14:paraId="3F312A8B" w14:textId="77777777" w:rsidR="00897A51" w:rsidRDefault="00000000">
            <w:r>
              <w:rPr>
                <w:sz w:val="20"/>
              </w:rPr>
              <w:t>31.08.2026</w:t>
            </w:r>
          </w:p>
        </w:tc>
        <w:tc>
          <w:tcPr>
            <w:tcW w:w="4320" w:type="dxa"/>
          </w:tcPr>
          <w:p w14:paraId="5C39EF49" w14:textId="77777777" w:rsidR="00897A51" w:rsidRDefault="00000000">
            <w:r>
              <w:rPr>
                <w:sz w:val="20"/>
              </w:rPr>
              <w:t>Zmiana kierunku: własna baza danych i migracja danych ze starego systemu.</w:t>
            </w:r>
          </w:p>
        </w:tc>
      </w:tr>
      <w:tr w:rsidR="00897A51" w14:paraId="46D9B243" w14:textId="77777777">
        <w:tc>
          <w:tcPr>
            <w:tcW w:w="1008" w:type="dxa"/>
          </w:tcPr>
          <w:p w14:paraId="7C11F3ED" w14:textId="77777777" w:rsidR="00897A51" w:rsidRDefault="00000000">
            <w:r>
              <w:rPr>
                <w:sz w:val="20"/>
              </w:rPr>
              <w:t>0.1</w:t>
            </w:r>
          </w:p>
        </w:tc>
        <w:tc>
          <w:tcPr>
            <w:tcW w:w="2448" w:type="dxa"/>
          </w:tcPr>
          <w:p w14:paraId="57C7BA71" w14:textId="77777777" w:rsidR="00897A51" w:rsidRDefault="00000000">
            <w:r>
              <w:rPr>
                <w:sz w:val="20"/>
              </w:rPr>
              <w:t>15.07.2026 - 31.07.2026</w:t>
            </w:r>
          </w:p>
        </w:tc>
        <w:tc>
          <w:tcPr>
            <w:tcW w:w="1296" w:type="dxa"/>
          </w:tcPr>
          <w:p w14:paraId="244857E5" w14:textId="77777777" w:rsidR="00897A51" w:rsidRDefault="00000000">
            <w:r>
              <w:rPr>
                <w:sz w:val="20"/>
              </w:rPr>
              <w:t>31.07.2026</w:t>
            </w:r>
          </w:p>
        </w:tc>
        <w:tc>
          <w:tcPr>
            <w:tcW w:w="4320" w:type="dxa"/>
          </w:tcPr>
          <w:p w14:paraId="0660B3AD" w14:textId="77777777" w:rsidR="00897A51" w:rsidRDefault="00000000">
            <w:r>
              <w:rPr>
                <w:sz w:val="20"/>
              </w:rPr>
              <w:t>Utworzenie projektu, dokumentacji i szkieletu aplikacji.</w:t>
            </w:r>
          </w:p>
        </w:tc>
      </w:tr>
    </w:tbl>
    <w:p w14:paraId="289899F2" w14:textId="77777777" w:rsidR="00897A51" w:rsidRDefault="00000000">
      <w:pPr>
        <w:spacing w:before="200" w:after="80"/>
      </w:pPr>
      <w:r>
        <w:rPr>
          <w:b/>
          <w:color w:val="1F2A44"/>
          <w:sz w:val="32"/>
        </w:rPr>
        <w:t>Zmiany w wersji 0.3</w:t>
      </w:r>
    </w:p>
    <w:p w14:paraId="01569815" w14:textId="77777777" w:rsidR="00897A51" w:rsidRDefault="00000000">
      <w:pPr>
        <w:spacing w:before="240" w:after="40"/>
      </w:pPr>
      <w:r>
        <w:rPr>
          <w:b/>
          <w:color w:val="2B57A6"/>
          <w:sz w:val="26"/>
        </w:rPr>
        <w:t>Aplikacja - rejestry i formularz</w:t>
      </w:r>
    </w:p>
    <w:p w14:paraId="721515D3" w14:textId="77777777" w:rsidR="00897A51" w:rsidRDefault="00000000">
      <w:pPr>
        <w:spacing w:after="80"/>
      </w:pPr>
      <w:r>
        <w:t>Kod, który powstawał od 31.08, trafił do repozytorium jako spójna całość.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4"/>
        <w:gridCol w:w="7200"/>
      </w:tblGrid>
      <w:tr w:rsidR="00897A51" w14:paraId="34B9F1DB" w14:textId="77777777">
        <w:tc>
          <w:tcPr>
            <w:tcW w:w="1584" w:type="dxa"/>
          </w:tcPr>
          <w:p w14:paraId="2DF32256" w14:textId="77777777" w:rsidR="00897A51" w:rsidRDefault="00000000">
            <w:r>
              <w:rPr>
                <w:b/>
                <w:sz w:val="20"/>
              </w:rPr>
              <w:t>Typ</w:t>
            </w:r>
          </w:p>
        </w:tc>
        <w:tc>
          <w:tcPr>
            <w:tcW w:w="7200" w:type="dxa"/>
          </w:tcPr>
          <w:p w14:paraId="637904CC" w14:textId="77777777" w:rsidR="00897A51" w:rsidRDefault="00000000">
            <w:r>
              <w:rPr>
                <w:b/>
                <w:sz w:val="20"/>
              </w:rPr>
              <w:t>Opis zmiany</w:t>
            </w:r>
          </w:p>
        </w:tc>
      </w:tr>
      <w:tr w:rsidR="00897A51" w14:paraId="224C53CF" w14:textId="77777777">
        <w:tc>
          <w:tcPr>
            <w:tcW w:w="1584" w:type="dxa"/>
          </w:tcPr>
          <w:p w14:paraId="5C80400A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3F25A589" w14:textId="77777777" w:rsidR="00897A51" w:rsidRDefault="00000000">
            <w:r>
              <w:rPr>
                <w:sz w:val="20"/>
              </w:rPr>
              <w:t>Trzy rejestry - Umowy, Projekty i Dział ryzyka - z filtrami, stronicowaniem i wyborem kolumn. Wszystkie trzy korzystają z jednej tabeli danych, rozróżnianej rodzajem statusu.</w:t>
            </w:r>
          </w:p>
        </w:tc>
      </w:tr>
      <w:tr w:rsidR="00897A51" w14:paraId="3D8DBBE4" w14:textId="77777777">
        <w:tc>
          <w:tcPr>
            <w:tcW w:w="1584" w:type="dxa"/>
          </w:tcPr>
          <w:p w14:paraId="6537FA46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2F89339C" w14:textId="77777777" w:rsidR="00897A51" w:rsidRDefault="00000000">
            <w:r>
              <w:rPr>
                <w:sz w:val="20"/>
              </w:rPr>
              <w:t>Wspólny formularz dodawania i edycji wpisu: aneksy, załączniki, wybór kontrahenta, właściciele i prawo edycji.</w:t>
            </w:r>
          </w:p>
        </w:tc>
      </w:tr>
      <w:tr w:rsidR="00897A51" w14:paraId="74BDDBF3" w14:textId="77777777">
        <w:tc>
          <w:tcPr>
            <w:tcW w:w="1584" w:type="dxa"/>
          </w:tcPr>
          <w:p w14:paraId="016DF9F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731B2DED" w14:textId="77777777" w:rsidR="00897A51" w:rsidRDefault="00000000">
            <w:r>
              <w:rPr>
                <w:sz w:val="20"/>
              </w:rPr>
              <w:t>Podgląd rekordu przeniesiony do jednego komponentu współdzielonego przez wszystkie trzy moduły.</w:t>
            </w:r>
          </w:p>
        </w:tc>
      </w:tr>
      <w:tr w:rsidR="00897A51" w14:paraId="7E850F60" w14:textId="77777777">
        <w:tc>
          <w:tcPr>
            <w:tcW w:w="1584" w:type="dxa"/>
          </w:tcPr>
          <w:p w14:paraId="32ABF296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864155" w14:textId="77777777" w:rsidR="00897A51" w:rsidRDefault="00000000">
            <w:r>
              <w:rPr>
                <w:sz w:val="20"/>
              </w:rPr>
              <w:t>Siedem modułów pomocniczych w trybie odczytu: Kontrahenci, Grupy, Lokalizacje, Dostępy, Raporty, Mailing oraz podgląd załączników.</w:t>
            </w:r>
          </w:p>
        </w:tc>
      </w:tr>
      <w:tr w:rsidR="00897A51" w14:paraId="6045EBB9" w14:textId="77777777">
        <w:tc>
          <w:tcPr>
            <w:tcW w:w="1584" w:type="dxa"/>
          </w:tcPr>
          <w:p w14:paraId="51ABCA3D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467A6372" w14:textId="77777777" w:rsidR="00897A51" w:rsidRDefault="00000000">
            <w:r>
              <w:rPr>
                <w:sz w:val="20"/>
              </w:rPr>
              <w:t>Generowanie numeru umowy, uprawnienia do zapisu i dostęp do rekordu wydzielone do osobnych modułów.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Poprawka błędu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Migracja zakładająca sekwencje identyfikatorów - bez niej aplikacja nie potrafiła wstawić ani jednego nowego rekordu po imporcie danych historycznych.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Zabezpieczone logowanie: blokada konta na 15 minut po 5 błędnych hasłach (skuteczna także przy próbach równoległych), limit prób z jednego adresu IP, jednakowy komunikat i czas odpowiedzi niezależnie od tego, czy login istnieje, oraz dziennik wszystkich prób logowania.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Sesje wygasają po 8 godzinach bezczynności i najpóźniej 12 godzin od zalogowania. Zmiana hasła wylogowuje użytkownika ze wszystkich urządzeń przy następnym kliknięciu.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Ekran Moje konto - każdy użytkownik sam zmienia imię, nazwisko i hasło (minimum 12 znaków).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Pięć kont testowych (test1 - test5) z losowymi hasłami oraz skrypty do zakładania kont i resetu hasła.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Wdrożenie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Pierwsza próba środowiska testowego (05.10): aplikacja na komputerze w biurze, dostęp przez darmowy tunel Cloudflare. Działała poza siecią firmową, ale w sieci firmowej logowanie było niemożliwe - patrz wiersze niżej. Zastąpiona 07.10.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Bezpieczeństwo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Pobieranie załączników: tylko pliki zarejestrowane w bazie (próby sięgnięcia poza katalog są odrzucane). W przeglądarce otwierają się wyłącznie PDF i obrazy, pozostałe pliki (np. HTML) są tylko pobierane - załącznik nie może już uruchomić kodu w aplikacji.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Bezpieczeństwo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Nagłówki bezpieczeństwa na całej stronie: zakaz osadzania w ramkach, polityka treści (CSP), wymuszone HTTPS.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Poprawka błędu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Luka wykryta w naszych testach: unieważniona sesja nadal mogła czytać dane przy przechodzeniu między ekranami wewnątrz aplikacji. Sprawdzanie sesji przeniesione do warstwy obsługującej każde żądanie; poprawka zweryfikowana.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Analiza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Przyczyna błędu logowania w sieci firmowej ustalona na żywo: firmowy filtr Zscaler przekierowuje każde żądanie do adresów *.trycloudflare.com przez własny serwer, nawet po zalogowaniu SSO. Strona się otwiera, ale zapytania wykonywane w tle przez formularz logowania przeglądarka odrzuca jako obce. Adresy *.vercel.app i abacus.ai przechodzą bez przekierowań. Dostęp po adresie IP w sieci biurowej też sprawdzony - blokuje go zapora Windows ustawiona centralnie przez IT.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Wdrożenie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Środowisko testowe przeniesione do chmury: aplikacja na Vercel (https://cru-2026-deployed.vercel.app, serwery we Frankfurcie), baza danych na Neon (PostgreSQL 18, Frankfurt, UE). Przeniesione wszystkie dane, w tym 10 735 umów i konta testowe. Działa z sieci firmowej i z domu; komputer w biurze nie musi być już włączony. Plan bezpłatny - do testów w gronie maksymalnie pięciu osób.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Nowa funkcja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Tryb pracy bez magazynu plików: w wersji testowej pobieranie i wgrywanie załączników pokazuje czytelny komunikat „nie są jeszcze dostępne” zamiast błędu.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Wdrożenie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Kopia wszystkich załączników (39 281 plików, 48 GB) w firmowym OneDrive, w tej samej strukturze co w bazie - gotowa do podpięcia do aplikacji przez Microsoft Graph.</w:t>
            </w:r>
          </w:p>
        </w:tc>
      </w:tr>
      <w:tr w:rsidR="00897A51" w14:paraId="17C361D3" w14:textId="77777777">
        <w:tc>
          <w:tcPr>
            <w:tcW w:w="1584" w:type="dxa"/>
          </w:tcPr>
          <w:p w14:paraId="7570F3D7" w14:textId="77777777" w:rsidR="00897A51" w:rsidRDefault="00000000">
            <w:r>
              <w:rPr>
                <w:sz w:val="20"/>
              </w:rPr>
              <w:t>Bezpieczeństwo</w:t>
            </w:r>
          </w:p>
        </w:tc>
        <w:tc>
          <w:tcPr>
            <w:tcW w:w="7200" w:type="dxa"/>
          </w:tcPr>
          <w:p w14:paraId="094784EE" w14:textId="77777777" w:rsidR="00897A51" w:rsidRDefault="00000000">
            <w:r>
              <w:rPr>
                <w:sz w:val="20"/>
              </w:rPr>
              <w:t>Hasło do bazy w chmurze zmienione po konfiguracji, pliki z danymi dostępowymi usunięte z komputera, stary tunel wyłączony wraz z autostartem. Instrukcja obsługi środowiska przepisana od nowa (docs/deployment.md).</w:t>
            </w:r>
          </w:p>
        </w:tc>
      </w:tr>
    </w:tbl>
    <w:p w14:paraId="3D8C9A71" w14:textId="77777777" w:rsidR="00897A51" w:rsidRDefault="00000000">
      <w:pPr>
        <w:spacing w:before="240" w:after="40"/>
      </w:pPr>
      <w:r>
        <w:rPr>
          <w:b/>
          <w:color w:val="2B57A6"/>
          <w:sz w:val="26"/>
        </w:rPr>
        <w:lastRenderedPageBreak/>
        <w:t>Dokumentacja funkcji - komplet 34 specyfikacji</w:t>
      </w:r>
    </w:p>
    <w:p w14:paraId="560DC322" w14:textId="77777777" w:rsidR="00897A51" w:rsidRDefault="00000000">
      <w:pPr>
        <w:spacing w:after="80"/>
      </w:pPr>
      <w:r>
        <w:t>Najważniejsza część tej wersji. Dla każdej funkcji starego systemu powstał osobny dokument opisujący, co ta funkcja robiła, jakie dane za nią stoją, co odtwarzamy, co świadomie zmieniamy i jak to sprawdzić.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4"/>
        <w:gridCol w:w="7200"/>
      </w:tblGrid>
      <w:tr w:rsidR="00897A51" w14:paraId="632A785B" w14:textId="77777777">
        <w:tc>
          <w:tcPr>
            <w:tcW w:w="1584" w:type="dxa"/>
          </w:tcPr>
          <w:p w14:paraId="6903C046" w14:textId="77777777" w:rsidR="00897A51" w:rsidRDefault="00000000">
            <w:r>
              <w:rPr>
                <w:b/>
                <w:sz w:val="20"/>
              </w:rPr>
              <w:t>Typ</w:t>
            </w:r>
          </w:p>
        </w:tc>
        <w:tc>
          <w:tcPr>
            <w:tcW w:w="7200" w:type="dxa"/>
          </w:tcPr>
          <w:p w14:paraId="4FF41DDD" w14:textId="77777777" w:rsidR="00897A51" w:rsidRDefault="00000000">
            <w:r>
              <w:rPr>
                <w:b/>
                <w:sz w:val="20"/>
              </w:rPr>
              <w:t>Opis zmiany</w:t>
            </w:r>
          </w:p>
        </w:tc>
      </w:tr>
      <w:tr w:rsidR="00897A51" w14:paraId="66621980" w14:textId="77777777">
        <w:tc>
          <w:tcPr>
            <w:tcW w:w="1584" w:type="dxa"/>
          </w:tcPr>
          <w:p w14:paraId="6F58296D" w14:textId="77777777" w:rsidR="00897A51" w:rsidRDefault="00000000">
            <w:r>
              <w:rPr>
                <w:sz w:val="20"/>
              </w:rPr>
              <w:t>Nowa dokumentacja</w:t>
            </w:r>
          </w:p>
        </w:tc>
        <w:tc>
          <w:tcPr>
            <w:tcW w:w="7200" w:type="dxa"/>
          </w:tcPr>
          <w:p w14:paraId="243A29CB" w14:textId="77777777" w:rsidR="00897A51" w:rsidRDefault="00000000">
            <w:r>
              <w:rPr>
                <w:sz w:val="20"/>
              </w:rPr>
              <w:t>34 specyfikacje w katalogu docs/features, łącznie ok. 11 800 wierszy. Każda zawiera: uzasadnienie, zachowanie starego systemu, dane z liczbami, listę rozbieżności, opis ekranów, plan wdrożenia i zapytania weryfikujące.</w:t>
            </w:r>
          </w:p>
        </w:tc>
      </w:tr>
      <w:tr w:rsidR="00897A51" w14:paraId="3907D24D" w14:textId="77777777">
        <w:tc>
          <w:tcPr>
            <w:tcW w:w="1584" w:type="dxa"/>
          </w:tcPr>
          <w:p w14:paraId="5C792BA6" w14:textId="77777777" w:rsidR="00897A51" w:rsidRDefault="00000000">
            <w:r>
              <w:rPr>
                <w:sz w:val="20"/>
              </w:rPr>
              <w:t>Analiza</w:t>
            </w:r>
          </w:p>
        </w:tc>
        <w:tc>
          <w:tcPr>
            <w:tcW w:w="7200" w:type="dxa"/>
          </w:tcPr>
          <w:p w14:paraId="2F8C6B94" w14:textId="77777777" w:rsidR="00897A51" w:rsidRDefault="00000000">
            <w:r>
              <w:rPr>
                <w:sz w:val="20"/>
              </w:rPr>
              <w:t>Źródłem jest wyłącznie zrzut bazy (45,7 MB), eksport 39 281 plików (49 GB), audyt starej strony oraz obecny kod. Wszystko, czego nie dało się potwierdzić, jest wprost oznaczone jako niepotwierdzone.</w:t>
            </w:r>
          </w:p>
        </w:tc>
      </w:tr>
      <w:tr w:rsidR="00897A51" w14:paraId="7775EDD3" w14:textId="77777777">
        <w:tc>
          <w:tcPr>
            <w:tcW w:w="1584" w:type="dxa"/>
          </w:tcPr>
          <w:p w14:paraId="7C1B9D06" w14:textId="77777777" w:rsidR="00897A51" w:rsidRDefault="00000000">
            <w:r>
              <w:rPr>
                <w:sz w:val="20"/>
              </w:rPr>
              <w:t>Analiza</w:t>
            </w:r>
          </w:p>
        </w:tc>
        <w:tc>
          <w:tcPr>
            <w:tcW w:w="7200" w:type="dxa"/>
          </w:tcPr>
          <w:p w14:paraId="4A63F334" w14:textId="77777777" w:rsidR="00897A51" w:rsidRDefault="00000000">
            <w:r>
              <w:rPr>
                <w:sz w:val="20"/>
              </w:rPr>
              <w:t>Osiem z dziesięciu modułów starego systemu nigdy nie zostało zobaczonych - konto audytowe dostawało komunikat o braku dostępu. Ich opisy są wyprowadzone ze schematu i danych, co jest zaznaczone na początku każdego z nich.</w:t>
            </w:r>
          </w:p>
        </w:tc>
      </w:tr>
      <w:tr w:rsidR="00897A51" w14:paraId="372473AD" w14:textId="77777777">
        <w:tc>
          <w:tcPr>
            <w:tcW w:w="1584" w:type="dxa"/>
          </w:tcPr>
          <w:p w14:paraId="0231B2FD" w14:textId="77777777" w:rsidR="00897A51" w:rsidRDefault="00000000">
            <w:r>
              <w:rPr>
                <w:sz w:val="20"/>
              </w:rPr>
              <w:t>Weryfikacja</w:t>
            </w:r>
          </w:p>
        </w:tc>
        <w:tc>
          <w:tcPr>
            <w:tcW w:w="7200" w:type="dxa"/>
          </w:tcPr>
          <w:p w14:paraId="47AC46C9" w14:textId="77777777" w:rsidR="00897A51" w:rsidRDefault="00000000">
            <w:r>
              <w:rPr>
                <w:sz w:val="20"/>
              </w:rPr>
              <w:t>Wszystkie 35 tabel starego systemu i wszystkie 32 modele nowej bazy są pokryte co najmniej jedną specyfikacją. Zależności między dokumentami sprawdzone, trzy dokumenty przeliczone ponownie na żywej bazie - liczby zgadzają się co do wiersza.</w:t>
            </w:r>
          </w:p>
        </w:tc>
      </w:tr>
      <w:tr w:rsidR="00897A51" w14:paraId="63FDAD00" w14:textId="77777777">
        <w:tc>
          <w:tcPr>
            <w:tcW w:w="1584" w:type="dxa"/>
          </w:tcPr>
          <w:p w14:paraId="0C76787C" w14:textId="77777777" w:rsidR="00897A51" w:rsidRDefault="00000000">
            <w:r>
              <w:rPr>
                <w:sz w:val="20"/>
              </w:rPr>
              <w:t>Organizacja</w:t>
            </w:r>
          </w:p>
        </w:tc>
        <w:tc>
          <w:tcPr>
            <w:tcW w:w="7200" w:type="dxa"/>
          </w:tcPr>
          <w:p w14:paraId="37F8EF36" w14:textId="77777777" w:rsidR="00897A51" w:rsidRDefault="00000000">
            <w:r>
              <w:rPr>
                <w:sz w:val="20"/>
              </w:rPr>
              <w:t>Ukończenie funkcji oznaczamy polem w nagłówku dokumentu, a nie zmianą nazwy pliku - dzięki temu odnośniki i historia zmian pozostają nienaruszone.</w:t>
            </w:r>
          </w:p>
        </w:tc>
      </w:tr>
    </w:tbl>
    <w:p w14:paraId="15E2D6A8" w14:textId="77777777" w:rsidR="00897A51" w:rsidRDefault="00000000">
      <w:pPr>
        <w:spacing w:before="240" w:after="40"/>
      </w:pPr>
      <w:r>
        <w:rPr>
          <w:b/>
          <w:color w:val="2B57A6"/>
          <w:sz w:val="26"/>
        </w:rPr>
        <w:t>Ustalenia z analizy danych</w:t>
      </w:r>
    </w:p>
    <w:p w14:paraId="3A51B5F6" w14:textId="77777777" w:rsidR="00897A51" w:rsidRDefault="00000000">
      <w:pPr>
        <w:spacing w:after="80"/>
      </w:pPr>
      <w:r>
        <w:t>Rzeczy, o których nie wiedzieliśmy, a które zmieniają zakres prac. Każda jest potwierdzona liczbami z bazy.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72"/>
        <w:gridCol w:w="6912"/>
      </w:tblGrid>
      <w:tr w:rsidR="00897A51" w14:paraId="030EF3C2" w14:textId="77777777">
        <w:tc>
          <w:tcPr>
            <w:tcW w:w="1872" w:type="dxa"/>
          </w:tcPr>
          <w:p w14:paraId="6BBE6A6B" w14:textId="77777777" w:rsidR="00897A51" w:rsidRDefault="00000000">
            <w:r>
              <w:rPr>
                <w:b/>
                <w:sz w:val="20"/>
              </w:rPr>
              <w:t>Obszar</w:t>
            </w:r>
          </w:p>
        </w:tc>
        <w:tc>
          <w:tcPr>
            <w:tcW w:w="6912" w:type="dxa"/>
          </w:tcPr>
          <w:p w14:paraId="030572BA" w14:textId="77777777" w:rsidR="00897A51" w:rsidRDefault="00000000">
            <w:r>
              <w:rPr>
                <w:b/>
                <w:sz w:val="20"/>
              </w:rPr>
              <w:t>Ustalenie</w:t>
            </w:r>
          </w:p>
        </w:tc>
      </w:tr>
      <w:tr w:rsidR="00897A51" w14:paraId="2688FE22" w14:textId="77777777">
        <w:tc>
          <w:tcPr>
            <w:tcW w:w="1872" w:type="dxa"/>
          </w:tcPr>
          <w:p w14:paraId="6FAA1711" w14:textId="77777777" w:rsidR="00897A51" w:rsidRDefault="00000000">
            <w:r>
              <w:rPr>
                <w:sz w:val="20"/>
              </w:rPr>
              <w:t>Terminy umów</w:t>
            </w:r>
          </w:p>
        </w:tc>
        <w:tc>
          <w:tcPr>
            <w:tcW w:w="6912" w:type="dxa"/>
          </w:tcPr>
          <w:p w14:paraId="6B43E3D9" w14:textId="77777777" w:rsidR="00897A51" w:rsidRDefault="00000000">
            <w:r>
              <w:rPr>
                <w:sz w:val="20"/>
              </w:rPr>
              <w:t>Stary system zapisuje datę 31.12.2099 w znaczeniu „na czas nieokreślony” - 7 442 wystąpienia w zrzucie, 4 119 żywych rekordów, z czego 1 638 to umowy wciąż obowiązujące. Dziś pokazujemy tę datę dosłownie. Umów bezterminowych w mocy jest 1 683, a nie 45, jak wynikało z wcześniejszej analizy.</w:t>
            </w:r>
          </w:p>
        </w:tc>
      </w:tr>
      <w:tr w:rsidR="00897A51" w14:paraId="0DCB5F7F" w14:textId="77777777">
        <w:tc>
          <w:tcPr>
            <w:tcW w:w="1872" w:type="dxa"/>
          </w:tcPr>
          <w:p w14:paraId="708A3364" w14:textId="77777777" w:rsidR="00897A51" w:rsidRDefault="00000000">
            <w:r>
              <w:rPr>
                <w:sz w:val="20"/>
              </w:rPr>
              <w:t>Zamykanie umów</w:t>
            </w:r>
          </w:p>
        </w:tc>
        <w:tc>
          <w:tcPr>
            <w:tcW w:w="6912" w:type="dxa"/>
          </w:tcPr>
          <w:p w14:paraId="00E289C1" w14:textId="77777777" w:rsidR="00897A51" w:rsidRDefault="00000000">
            <w:r>
              <w:rPr>
                <w:sz w:val="20"/>
              </w:rPr>
              <w:t>Umowy zamykała procedura w bazie, uruchamiana codziennie od 2017 roku. Nie zapisywała historii - 4 596 umów trafiło do statusu „Zakończona” bez żadnego śladu w dzienniku zmian. Procedura porównywała datę na równość, więc każdy pominięty dzień przepadał na zawsze: 173 umowy do dziś figurują jako obowiązujące, najstarsza wygasła 30.04.2015.</w:t>
            </w:r>
          </w:p>
        </w:tc>
      </w:tr>
      <w:tr w:rsidR="00897A51" w14:paraId="1FA518F3" w14:textId="77777777">
        <w:tc>
          <w:tcPr>
            <w:tcW w:w="1872" w:type="dxa"/>
          </w:tcPr>
          <w:p w14:paraId="4E1B4F52" w14:textId="77777777" w:rsidR="00897A51" w:rsidRDefault="00000000">
            <w:r>
              <w:rPr>
                <w:sz w:val="20"/>
              </w:rPr>
              <w:t>Aneksy</w:t>
            </w:r>
          </w:p>
        </w:tc>
        <w:tc>
          <w:tcPr>
            <w:tcW w:w="6912" w:type="dxa"/>
          </w:tcPr>
          <w:p w14:paraId="08BEED5F" w14:textId="77777777" w:rsidR="00897A51" w:rsidRDefault="00000000">
            <w:r>
              <w:rPr>
                <w:sz w:val="20"/>
              </w:rPr>
              <w:t>Aneksów jest 3 038, a nie 10 167, jak dotąd zakładaliśmy. Pole wiążące rekordy ma dwa znaczenia: na umowie „aneks do”, na projekcie „stał się”. Kolumna „Aneks” w rejestrze liczy więc projekty jako aneksy.</w:t>
            </w:r>
          </w:p>
        </w:tc>
      </w:tr>
      <w:tr w:rsidR="00897A51" w14:paraId="6671CBBB" w14:textId="77777777">
        <w:tc>
          <w:tcPr>
            <w:tcW w:w="1872" w:type="dxa"/>
          </w:tcPr>
          <w:p w14:paraId="1BBAE80A" w14:textId="77777777" w:rsidR="00897A51" w:rsidRDefault="00000000">
            <w:r>
              <w:rPr>
                <w:sz w:val="20"/>
              </w:rPr>
              <w:t>Obieg opinii</w:t>
            </w:r>
          </w:p>
        </w:tc>
        <w:tc>
          <w:tcPr>
            <w:tcW w:w="6912" w:type="dxa"/>
          </w:tcPr>
          <w:p w14:paraId="6C647F3A" w14:textId="77777777" w:rsidR="00897A51" w:rsidRDefault="00000000">
            <w:r>
              <w:rPr>
                <w:sz w:val="20"/>
              </w:rPr>
              <w:t>Jeden wiersz w tabeli opinii to jedna osoba poproszona o opinię, a nie jedna opinia danego rodzaju. Czeka 3 702 nierozpatrzonych próśb, ale 78 % z nich wisi na rekordach już zamkniętych - realna lista zaległości to 645 pozycji.</w:t>
            </w:r>
          </w:p>
        </w:tc>
      </w:tr>
      <w:tr w:rsidR="00897A51" w14:paraId="7839C3BD" w14:textId="77777777">
        <w:tc>
          <w:tcPr>
            <w:tcW w:w="1872" w:type="dxa"/>
          </w:tcPr>
          <w:p w14:paraId="36A1A1EC" w14:textId="77777777" w:rsidR="00897A51" w:rsidRDefault="00000000">
            <w:r>
              <w:rPr>
                <w:sz w:val="20"/>
              </w:rPr>
              <w:t>Formularz akceptacji</w:t>
            </w:r>
          </w:p>
        </w:tc>
        <w:tc>
          <w:tcPr>
            <w:tcW w:w="6912" w:type="dxa"/>
          </w:tcPr>
          <w:p w14:paraId="71CD9E2B" w14:textId="77777777" w:rsidR="00897A51" w:rsidRDefault="00000000">
            <w:r>
              <w:rPr>
                <w:sz w:val="20"/>
              </w:rPr>
              <w:t>Tabela formularza akceptacji ma jeden prawdziwy wiersz z kwietnia 2020 i nigdy więcej nie była używana. Żywa ścieżka MDR to trzy znaczniki przy opinii właściciela umowy - wszystkie 3 715 deklaracji siedzi tam.</w:t>
            </w:r>
          </w:p>
        </w:tc>
      </w:tr>
      <w:tr w:rsidR="00897A51" w14:paraId="21399E25" w14:textId="77777777">
        <w:tc>
          <w:tcPr>
            <w:tcW w:w="1872" w:type="dxa"/>
          </w:tcPr>
          <w:p w14:paraId="5B172E0F" w14:textId="77777777" w:rsidR="00897A51" w:rsidRDefault="00000000">
            <w:r>
              <w:rPr>
                <w:sz w:val="20"/>
              </w:rPr>
              <w:t>Kontrahenci</w:t>
            </w:r>
          </w:p>
        </w:tc>
        <w:tc>
          <w:tcPr>
            <w:tcW w:w="6912" w:type="dxa"/>
          </w:tcPr>
          <w:p w14:paraId="234ECDCB" w14:textId="77777777" w:rsidR="00897A51" w:rsidRDefault="00000000">
            <w:r>
              <w:rPr>
                <w:sz w:val="20"/>
              </w:rPr>
              <w:t>177 numerów NIP jest przypisanych do więcej niż jednego kontrahenta - 137 podwójnie, 17 potrójnie, 2 poczwórnie. To ten sam podmiot wpisany kilka razy, z umowami rozrzuconymi po kopiach.</w:t>
            </w:r>
          </w:p>
        </w:tc>
      </w:tr>
      <w:tr w:rsidR="00897A51" w14:paraId="22C17CBC" w14:textId="77777777">
        <w:tc>
          <w:tcPr>
            <w:tcW w:w="1872" w:type="dxa"/>
          </w:tcPr>
          <w:p w14:paraId="3A74AA2A" w14:textId="77777777" w:rsidR="00897A51" w:rsidRDefault="00000000">
            <w:r>
              <w:rPr>
                <w:sz w:val="20"/>
              </w:rPr>
              <w:t>Dane osobowe</w:t>
            </w:r>
          </w:p>
        </w:tc>
        <w:tc>
          <w:tcPr>
            <w:tcW w:w="6912" w:type="dxa"/>
          </w:tcPr>
          <w:p w14:paraId="28B0D3FE" w14:textId="77777777" w:rsidR="00897A51" w:rsidRDefault="00000000">
            <w:r>
              <w:rPr>
                <w:sz w:val="20"/>
              </w:rPr>
              <w:t>Tabela mailingowa zawiera 275 prawdziwych nazwisk i 269 firmowych adresów e-mail. To jedyne miejsce w całym zrzucie, gdzie nazwisko spotyka się z adresem, i nic tego dotąd nie czytało.</w:t>
            </w:r>
          </w:p>
        </w:tc>
      </w:tr>
      <w:tr w:rsidR="00897A51" w14:paraId="33258217" w14:textId="77777777">
        <w:tc>
          <w:tcPr>
            <w:tcW w:w="1872" w:type="dxa"/>
          </w:tcPr>
          <w:p w14:paraId="73DAFA61" w14:textId="77777777" w:rsidR="00897A51" w:rsidRDefault="00000000">
            <w:r>
              <w:rPr>
                <w:sz w:val="20"/>
              </w:rPr>
              <w:t>Załączniki</w:t>
            </w:r>
          </w:p>
        </w:tc>
        <w:tc>
          <w:tcPr>
            <w:tcW w:w="6912" w:type="dxa"/>
          </w:tcPr>
          <w:p w14:paraId="32C46362" w14:textId="77777777" w:rsidR="00897A51" w:rsidRDefault="00000000">
            <w:r>
              <w:rPr>
                <w:sz w:val="20"/>
              </w:rPr>
              <w:t xml:space="preserve">23 załączniki widoczne na żywych rekordach mają zero bajtów, 8 wierszy nie ma </w:t>
            </w:r>
            <w:r>
              <w:rPr>
                <w:sz w:val="20"/>
              </w:rPr>
              <w:lastRenderedPageBreak/>
              <w:t>pliku, 17 plików nie ma wiersza, a 7 jest osiągalnych tylko po pominięciu rozszerzenia. Te cztery liczby są jednocześnie kryterium poprawności kopii zapasowej.</w:t>
            </w:r>
          </w:p>
        </w:tc>
      </w:tr>
      <w:tr w:rsidR="00897A51" w14:paraId="13F2EA45" w14:textId="77777777">
        <w:tc>
          <w:tcPr>
            <w:tcW w:w="1872" w:type="dxa"/>
          </w:tcPr>
          <w:p w14:paraId="40FC7DE1" w14:textId="77777777" w:rsidR="00897A51" w:rsidRDefault="00000000">
            <w:r>
              <w:rPr>
                <w:sz w:val="20"/>
              </w:rPr>
              <w:lastRenderedPageBreak/>
              <w:t>Supply chain</w:t>
            </w:r>
          </w:p>
        </w:tc>
        <w:tc>
          <w:tcPr>
            <w:tcW w:w="6912" w:type="dxa"/>
          </w:tcPr>
          <w:p w14:paraId="3175EC31" w14:textId="77777777" w:rsidR="00897A51" w:rsidRDefault="00000000">
            <w:r>
              <w:rPr>
                <w:sz w:val="20"/>
              </w:rPr>
              <w:t>Moduł nie ma tabeli w bazie - ani jednej z 35. Istnieje pozycja w menu, trasa bramkowana rolą, raport i trzy grupy użytkowników. Hipoteza warta sprawdzenia w pierwszej kolejności: tabele mogą leżeć w innej bazie na tym samym serwerze.</w:t>
            </w:r>
          </w:p>
        </w:tc>
      </w:tr>
    </w:tbl>
    <w:p w14:paraId="69122411" w14:textId="77777777" w:rsidR="00897A51" w:rsidRDefault="00000000">
      <w:pPr>
        <w:spacing w:before="240" w:after="40"/>
      </w:pPr>
      <w:r>
        <w:rPr>
          <w:b/>
          <w:color w:val="1F2A44"/>
          <w:sz w:val="26"/>
        </w:rPr>
        <w:t>Bezpieczeństwo</w:t>
      </w:r>
    </w:p>
    <w:p w14:paraId="77FE998E" w14:textId="77777777" w:rsidR="00897A51" w:rsidRDefault="00000000">
      <w:pPr>
        <w:spacing w:after="80"/>
      </w:pPr>
      <w:r>
        <w:t>Trzy luki wykryte podczas analizy. Żadna nie wymaga pomysłowości, żeby ją wykorzystać. Wszystkie do naprawy przed uruchomieniem produkcyjnym. Stan na 05.10.2026: pobieranie plików wymaga zalogowania i dotyczy tylko plików zarejestrowanych w bazie, ale pełna naprawa wszystkich trzech luk wymaga warstwy uprawnień do odczytu (specyfikacja 03). Do tego czasu dostęp mają wyłącznie zaufani testerzy.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40"/>
        <w:gridCol w:w="7344"/>
      </w:tblGrid>
      <w:tr w:rsidR="00897A51" w14:paraId="2B4782FD" w14:textId="77777777">
        <w:tc>
          <w:tcPr>
            <w:tcW w:w="1440" w:type="dxa"/>
          </w:tcPr>
          <w:p w14:paraId="7D55E6AD" w14:textId="77777777" w:rsidR="00897A51" w:rsidRDefault="00000000">
            <w:r>
              <w:rPr>
                <w:b/>
                <w:sz w:val="20"/>
              </w:rPr>
              <w:t>Waga</w:t>
            </w:r>
          </w:p>
        </w:tc>
        <w:tc>
          <w:tcPr>
            <w:tcW w:w="7344" w:type="dxa"/>
          </w:tcPr>
          <w:p w14:paraId="637F720F" w14:textId="77777777" w:rsidR="00897A51" w:rsidRDefault="00000000">
            <w:r>
              <w:rPr>
                <w:b/>
                <w:sz w:val="20"/>
              </w:rPr>
              <w:t>Opis</w:t>
            </w:r>
          </w:p>
        </w:tc>
      </w:tr>
      <w:tr w:rsidR="00897A51" w14:paraId="2DF15B50" w14:textId="77777777">
        <w:tc>
          <w:tcPr>
            <w:tcW w:w="1440" w:type="dxa"/>
          </w:tcPr>
          <w:p w14:paraId="71790012" w14:textId="77777777" w:rsidR="00897A51" w:rsidRDefault="00000000">
            <w:r>
              <w:rPr>
                <w:sz w:val="20"/>
              </w:rPr>
              <w:t>Krytyczna</w:t>
            </w:r>
          </w:p>
        </w:tc>
        <w:tc>
          <w:tcPr>
            <w:tcW w:w="7344" w:type="dxa"/>
          </w:tcPr>
          <w:p w14:paraId="4A049C6A" w14:textId="77777777" w:rsidR="00897A51" w:rsidRDefault="00000000">
            <w:r>
              <w:rPr>
                <w:sz w:val="20"/>
              </w:rPr>
              <w:t>Ekran Dostępy pokazuje mapę uprawnień całej organizacji każdej zalogowanej osobie - wystarczy otworzyć stronę. To samo dotyczy ekranów Grupy i Lokalizacje. Poprawka to po dwie linijki na ekran.</w:t>
            </w:r>
          </w:p>
        </w:tc>
      </w:tr>
      <w:tr w:rsidR="00897A51" w14:paraId="44E64A0F" w14:textId="77777777">
        <w:tc>
          <w:tcPr>
            <w:tcW w:w="1440" w:type="dxa"/>
          </w:tcPr>
          <w:p w14:paraId="1F48C682" w14:textId="77777777" w:rsidR="00897A51" w:rsidRDefault="00000000">
            <w:r>
              <w:rPr>
                <w:sz w:val="20"/>
              </w:rPr>
              <w:t>Krytyczna</w:t>
            </w:r>
          </w:p>
        </w:tc>
        <w:tc>
          <w:tcPr>
            <w:tcW w:w="7344" w:type="dxa"/>
          </w:tcPr>
          <w:p w14:paraId="45F436C7" w14:textId="77777777" w:rsidR="00897A51" w:rsidRDefault="00000000">
            <w:r>
              <w:rPr>
                <w:sz w:val="20"/>
              </w:rPr>
              <w:t>Pobieranie załącznika nie sprawdza, do którego rekordu plik należy. Po wdrożeniu warstwy uprawnień osoba bez dostępu do umowy nadal pobierze jej dokumenty, mając sam odnośnik.</w:t>
            </w:r>
          </w:p>
        </w:tc>
      </w:tr>
      <w:tr w:rsidR="00897A51" w14:paraId="4750EE10" w14:textId="77777777">
        <w:tc>
          <w:tcPr>
            <w:tcW w:w="1440" w:type="dxa"/>
          </w:tcPr>
          <w:p w14:paraId="51B3EC27" w14:textId="77777777" w:rsidR="00897A51" w:rsidRDefault="00000000">
            <w:r>
              <w:rPr>
                <w:sz w:val="20"/>
              </w:rPr>
              <w:t>Wysoka</w:t>
            </w:r>
          </w:p>
        </w:tc>
        <w:tc>
          <w:tcPr>
            <w:tcW w:w="7344" w:type="dxa"/>
          </w:tcPr>
          <w:p w14:paraId="7E7771AD" w14:textId="77777777" w:rsidR="00897A51" w:rsidRDefault="00000000">
            <w:r>
              <w:rPr>
                <w:sz w:val="20"/>
              </w:rPr>
              <w:t>Warstwa uprawnień do odczytu nie istnieje - dane o zakresach dostępu są zaimportowane i wyświetlane, ale nigdy nieegzekwowane. Każda zalogowana osoba widzi cały rejestr.</w:t>
            </w:r>
          </w:p>
        </w:tc>
      </w:tr>
      <w:tr w:rsidR="00897A51" w14:paraId="11678F4E" w14:textId="77777777">
        <w:tc>
          <w:tcPr>
            <w:tcW w:w="1440" w:type="dxa"/>
          </w:tcPr>
          <w:p w14:paraId="06C9AB2A" w14:textId="77777777" w:rsidR="00897A51" w:rsidRDefault="00000000">
            <w:r>
              <w:rPr>
                <w:sz w:val="20"/>
              </w:rPr>
              <w:t>Średnia</w:t>
            </w:r>
          </w:p>
        </w:tc>
        <w:tc>
          <w:tcPr>
            <w:tcW w:w="7344" w:type="dxa"/>
          </w:tcPr>
          <w:p w14:paraId="01B82B73" w14:textId="77777777" w:rsidR="00897A51" w:rsidRDefault="00000000">
            <w:r>
              <w:rPr>
                <w:sz w:val="20"/>
              </w:rPr>
              <w:t>Słownik kontrahentów, od którego zależą wszystkie 20 137 rekordów, może dziś zapisywać każda zalogowana osoba, bez żadnej kontroli.</w:t>
            </w:r>
          </w:p>
        </w:tc>
      </w:tr>
    </w:tbl>
    <w:p w14:paraId="4CF1637A" w14:textId="77777777" w:rsidR="00897A51" w:rsidRDefault="00000000">
      <w:pPr>
        <w:spacing w:before="240" w:after="40"/>
      </w:pPr>
      <w:r>
        <w:rPr>
          <w:b/>
          <w:color w:val="1F2A44"/>
          <w:sz w:val="26"/>
        </w:rPr>
        <w:t>Proces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84"/>
        <w:gridCol w:w="7200"/>
      </w:tblGrid>
      <w:tr w:rsidR="00897A51" w14:paraId="1BF85C5E" w14:textId="77777777">
        <w:tc>
          <w:tcPr>
            <w:tcW w:w="1584" w:type="dxa"/>
          </w:tcPr>
          <w:p w14:paraId="63821C61" w14:textId="77777777" w:rsidR="00897A51" w:rsidRDefault="00000000">
            <w:r>
              <w:rPr>
                <w:b/>
                <w:sz w:val="20"/>
              </w:rPr>
              <w:t>Typ</w:t>
            </w:r>
          </w:p>
        </w:tc>
        <w:tc>
          <w:tcPr>
            <w:tcW w:w="7200" w:type="dxa"/>
          </w:tcPr>
          <w:p w14:paraId="1187A602" w14:textId="77777777" w:rsidR="00897A51" w:rsidRDefault="00000000">
            <w:r>
              <w:rPr>
                <w:b/>
                <w:sz w:val="20"/>
              </w:rPr>
              <w:t>Opis</w:t>
            </w:r>
          </w:p>
        </w:tc>
      </w:tr>
      <w:tr w:rsidR="00897A51" w14:paraId="335298F1" w14:textId="77777777">
        <w:tc>
          <w:tcPr>
            <w:tcW w:w="1584" w:type="dxa"/>
          </w:tcPr>
          <w:p w14:paraId="21FC3A1F" w14:textId="77777777" w:rsidR="00897A51" w:rsidRDefault="00000000">
            <w:r>
              <w:rPr>
                <w:sz w:val="20"/>
              </w:rPr>
              <w:t>Ustalenie</w:t>
            </w:r>
          </w:p>
        </w:tc>
        <w:tc>
          <w:tcPr>
            <w:tcW w:w="7200" w:type="dxa"/>
          </w:tcPr>
          <w:p w14:paraId="644E8509" w14:textId="77777777" w:rsidR="00897A51" w:rsidRDefault="00000000">
            <w:r>
              <w:rPr>
                <w:sz w:val="20"/>
              </w:rPr>
              <w:t>Krok 0b pierwotnego planu - dokument zakresu kopii i jawna akceptacja przed napisaniem jakiegokolwiek kodu produkcyjnego - nigdy się nie odbył. Komplet 34 specyfikacji jest w istocie tym dokumentem; brakuje drugiej połowy, czyli akceptacji zakresu.</w:t>
            </w:r>
          </w:p>
        </w:tc>
      </w:tr>
      <w:tr w:rsidR="00897A51" w14:paraId="15F2C885" w14:textId="77777777">
        <w:tc>
          <w:tcPr>
            <w:tcW w:w="1584" w:type="dxa"/>
          </w:tcPr>
          <w:p w14:paraId="02C213E5" w14:textId="77777777" w:rsidR="00897A51" w:rsidRDefault="00000000">
            <w:r>
              <w:rPr>
                <w:sz w:val="20"/>
              </w:rPr>
              <w:t>Korekta</w:t>
            </w:r>
          </w:p>
        </w:tc>
        <w:tc>
          <w:tcPr>
            <w:tcW w:w="7200" w:type="dxa"/>
          </w:tcPr>
          <w:p w14:paraId="6A81F076" w14:textId="77777777" w:rsidR="00897A51" w:rsidRDefault="00000000">
            <w:r>
              <w:rPr>
                <w:sz w:val="20"/>
              </w:rPr>
              <w:t>Dwie liczby podawane wcześniej w dokumentacji projektu okazały się błędne i zostały poprawione: powiadomień nieprzeczytanych jest 750, a nie 13 933 (13 933 to liczba przeczytanych), a aneksów 3 038, a nie 10 167.</w:t>
            </w:r>
          </w:p>
        </w:tc>
      </w:tr>
    </w:tbl>
    <w:p w14:paraId="1E036525" w14:textId="77777777" w:rsidR="00897A51" w:rsidRDefault="00000000">
      <w:pPr>
        <w:spacing w:before="320" w:after="120"/>
      </w:pPr>
      <w:r>
        <w:rPr>
          <w:b/>
          <w:color w:val="1F2A44"/>
          <w:sz w:val="26"/>
        </w:rPr>
        <w:t>Znane problemy / prace w toku</w:t>
      </w:r>
    </w:p>
    <w:p w14:paraId="034BF338" w14:textId="77777777" w:rsidR="00897A51" w:rsidRDefault="00000000">
      <w:pPr>
        <w:pStyle w:val="Listapunktowana"/>
      </w:pPr>
      <w:r>
        <w:t>Eksport katalogu użytkowników z systemu firmowego - bez niego 451 z 452 osób to zaślepki i zalogować się może wyłącznie konto serwisowe. Prośba została zawężona: wystarczą dwie kolumny, identyfikator i login, bo nazwiska i adresy dla 275 osób już mamy w bazie. Na czas testów założono pięć kont testowych.</w:t>
      </w:r>
    </w:p>
    <w:p w14:paraId="13BE565B" w14:textId="77777777" w:rsidR="00897A51" w:rsidRDefault="00000000">
      <w:pPr>
        <w:pStyle w:val="Listapunktowana"/>
      </w:pPr>
      <w:r>
        <w:t>Docelowe środowisko produkcyjne nadal nierozstrzygnięte. Wersja testowa działa od 07.10.2026 na Vercel z bazą Neon (UE), w planie bezpłatnym, który regulamin przewiduje do użytku niekomercyjnego - wystarczy na krótkie testy, przed szerszym użyciem potrzebny plan płatny (ok. 20 USD/mies.) lub hosting firmowy. Dane firmowe u zewnętrznych dostawców wymagają potwierdzenia przez dział IT.</w:t>
      </w:r>
    </w:p>
    <w:p w14:paraId="13BE565B" w14:textId="77777777" w:rsidR="00897A51" w:rsidRDefault="00000000">
      <w:pPr>
        <w:pStyle w:val="Listapunktowana"/>
      </w:pPr>
      <w:r>
        <w:t>Załączniki niedostępne w wersji testowej. Pliki są już w OneDrive, ale aplikacja może je czytać dopiero po rejestracji w firmowym Entra ID i zgodzie administratora na dostęp do plików (Microsoft Graph) - wymaga działu IT.</w:t>
      </w:r>
    </w:p>
    <w:p w14:paraId="08039E95" w14:textId="77777777" w:rsidR="00897A51" w:rsidRDefault="00000000">
      <w:pPr>
        <w:pStyle w:val="Listapunktowana"/>
      </w:pPr>
      <w:r>
        <w:t>38 rekordów nie da się dzisiaj zapisać - opis pola OBSC sięga w danych 1 926 znaków, a walidacja formularza tnie na 500 i zwraca błąd zamiast skrócić.</w:t>
      </w:r>
    </w:p>
    <w:p w14:paraId="00D23717" w14:textId="77777777" w:rsidR="00897A51" w:rsidRDefault="00000000">
      <w:pPr>
        <w:pStyle w:val="Listapunktowana"/>
      </w:pPr>
      <w:r>
        <w:t>Polecenie sprawdzające jakość kodu (lint) w ogóle nie działa - niezgodne wersje narzędzi. Nie ma też żadnych testów automatycznych ani ciągłej integracji.</w:t>
      </w:r>
    </w:p>
    <w:p w14:paraId="1B9821E2" w14:textId="77777777" w:rsidR="00897A51" w:rsidRDefault="00000000">
      <w:pPr>
        <w:pStyle w:val="Listapunktowana"/>
      </w:pPr>
      <w:r>
        <w:t>Skrypt uruchomieniowy pomija migracje bazy, więc świeże środowisko nie zapisze ani jednego rekordu. U nas było to niewidoczne, bo sekwencje założono raz ręcznie. W środowisku testowym na Vercel migracje uruchamiamy ręcznie przed wdrożeniem - procedura w docs/deployment.md.</w:t>
      </w:r>
    </w:p>
    <w:p w14:paraId="36589B3E" w14:textId="77777777" w:rsidR="00897A51" w:rsidRDefault="00000000">
      <w:pPr>
        <w:pStyle w:val="Listapunktowana"/>
      </w:pPr>
      <w:r>
        <w:t>Zrzut bazy pochodzi z 10.08.2026 - wszystko wpisane w starym systemie od tamtej pory jest poza naszą kopią. Przed przełączeniem konieczny świeży eksport.</w:t>
      </w:r>
    </w:p>
    <w:p w14:paraId="00486B16" w14:textId="77777777" w:rsidR="00897A51" w:rsidRDefault="00000000">
      <w:pPr>
        <w:pStyle w:val="Listapunktowana"/>
      </w:pPr>
      <w:r>
        <w:t>Konto Adobe Acrobat Sign i poziom podpisu elektronicznego - odłożone świadomie na później, po uruchomieniu całości systemu.</w:t>
      </w:r>
    </w:p>
    <w:p w14:paraId="7540E6C8" w14:textId="77777777" w:rsidR="00897A51" w:rsidRDefault="00000000">
      <w:pPr>
        <w:pStyle w:val="Listapunktowana"/>
      </w:pPr>
      <w:r>
        <w:t>98 pytań otwartych zebranych w jednym miejscu (docs/features/README.md), z podziałem na blokujące, wymagające akceptacji i wymagające potwierdzenia z użytkownikiem starego systemu.</w:t>
      </w:r>
    </w:p>
    <w:p w14:paraId="55E284E9" w14:textId="77777777" w:rsidR="00897A51" w:rsidRDefault="00000000">
      <w:pPr>
        <w:spacing w:before="320" w:after="120"/>
      </w:pPr>
      <w:r>
        <w:rPr>
          <w:b/>
          <w:color w:val="1F2A44"/>
          <w:sz w:val="26"/>
        </w:rPr>
        <w:t>Plany na kolejne tygodnie</w:t>
      </w:r>
    </w:p>
    <w:p w14:paraId="6E11C96A" w14:textId="77777777" w:rsidR="00897A51" w:rsidRDefault="00000000">
      <w:pPr>
        <w:pStyle w:val="Listapunktowana"/>
      </w:pPr>
      <w:r>
        <w:t>Akceptacja zakresu na podstawie kompletu specyfikacji - zamknięcie kroku, który pierwotnie miał poprzedzać pisanie kodu.</w:t>
      </w:r>
    </w:p>
    <w:p w14:paraId="3B68E17E" w14:textId="77777777" w:rsidR="00897A51" w:rsidRDefault="00000000">
      <w:pPr>
        <w:pStyle w:val="Listapunktowana"/>
      </w:pPr>
      <w:r>
        <w:t>Naprawa trzech luk w uprawnieniach: ekrany administracyjne tylko dla administratora, sprawdzanie dostępu przy pobieraniu pliku, egzekwowanie zakresów widoczności. Zabezpieczenie pobierania plików i logowania zrobione; pozostaje warstwa uprawnień do odczytu (specyfikacja 03) - warunek dopuszczenia osób spoza grupy testowej.</w:t>
      </w:r>
    </w:p>
    <w:p w14:paraId="419F6D86" w14:textId="77777777" w:rsidR="00897A51" w:rsidRDefault="00000000">
      <w:pPr>
        <w:pStyle w:val="Listapunktowana"/>
      </w:pPr>
      <w:r>
        <w:t>Ponowny import danych - odzyskanie dwóch kolumn spłaszczonych przy pierwszym przebiegu i doimportowanie trzech pominiętych słowników. Im później, tym drożej.</w:t>
      </w:r>
    </w:p>
    <w:p w14:paraId="1C3983DA" w14:textId="77777777" w:rsidR="00897A51" w:rsidRDefault="00000000">
      <w:pPr>
        <w:pStyle w:val="Listapunktowana"/>
      </w:pPr>
      <w:r>
        <w:t>Uzupełnienie brakujących podsystemów, dla których dane są w bazie, a ekranów nie ma: historia zmian (237 405 wpisów), notatki (50 737), powiadomienia i obieg opinii (16 531).</w:t>
      </w:r>
    </w:p>
    <w:p w14:paraId="6583F153" w14:textId="77777777" w:rsidR="00897A51" w:rsidRDefault="00000000">
      <w:pPr>
        <w:pStyle w:val="Listapunktowana"/>
      </w:pPr>
      <w:r>
        <w:t>Ujednolicenie powtarzającego się kodu ekranów rejestrów - jedna implementacja zamiast trzech.</w:t>
      </w:r>
    </w:p>
    <w:p w14:paraId="11CDE0A9" w14:textId="77777777" w:rsidR="00897A51" w:rsidRDefault="00000000">
      <w:pPr>
        <w:pStyle w:val="Listapunktowana"/>
      </w:pPr>
      <w:r>
        <w:t>Eksport danych do Excela z zachowaniem filtrów i uprawnień - to, czego naprawdę oczekują użytkownicy raportów.</w:t>
      </w:r>
    </w:p>
    <w:p w14:paraId="22306F44" w14:textId="77777777" w:rsidR="00897A51" w:rsidRDefault="00000000">
      <w:pPr>
        <w:pStyle w:val="Listapunktowana"/>
      </w:pPr>
      <w:r>
        <w:t>Kopie zapasowe wraz z próbnym odtworzeniem, oraz testy automatyczne dla miejsc, w których pomyłka jest kosztowna i niewidoczna. Kopia załączników jest już w OneDrive; baza w Neon ma krótkie okno przywracania, codzienna kopia bazy do OneDrive do zrobienia.</w:t>
      </w:r>
    </w:p>
    <w:p w14:paraId="22306F44" w14:textId="77777777" w:rsidR="00897A51" w:rsidRDefault="00000000">
      <w:pPr>
        <w:pStyle w:val="Listapunktowana"/>
      </w:pPr>
      <w:r>
        <w:t>Podpięcie załączników z OneDrive przez Microsoft Graph (nowy adapter magazynu plików) po zgodzie działu IT, oraz decyzja o docelowym hostingu: płatny plan Vercel z bazą Neon albo serwer firmowy.</w:t>
      </w:r>
    </w:p>
    <w:p w14:paraId="37293C33" w14:textId="77777777" w:rsidR="00897A51" w:rsidRDefault="00897A51">
      <w:pPr>
        <w:spacing w:after="3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897A51" w14:paraId="1CFA3D16" w14:textId="77777777">
        <w:tc>
          <w:tcPr>
            <w:tcW w:w="4392" w:type="dxa"/>
          </w:tcPr>
          <w:p w14:paraId="43F748B8" w14:textId="77777777" w:rsidR="00897A51" w:rsidRDefault="00000000">
            <w:r>
              <w:rPr>
                <w:sz w:val="20"/>
              </w:rPr>
              <w:t>Sporządził:  Mateusz Mazur</w:t>
            </w:r>
          </w:p>
        </w:tc>
        <w:tc>
          <w:tcPr>
            <w:tcW w:w="4392" w:type="dxa"/>
          </w:tcPr>
          <w:p w14:paraId="00AD8CAB" w14:textId="77777777" w:rsidR="00897A51" w:rsidRDefault="00000000">
            <w:r>
              <w:rPr>
                <w:sz w:val="20"/>
              </w:rPr>
              <w:t>Zatwierdził:  ______________________</w:t>
            </w:r>
          </w:p>
        </w:tc>
      </w:tr>
    </w:tbl>
    <w:p w14:paraId="47063AFA" w14:textId="77777777" w:rsidR="00082375" w:rsidRDefault="00082375"/>
    <w:sectPr w:rsidR="000823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354954">
    <w:abstractNumId w:val="8"/>
  </w:num>
  <w:num w:numId="2" w16cid:durableId="620304031">
    <w:abstractNumId w:val="6"/>
  </w:num>
  <w:num w:numId="3" w16cid:durableId="1747461817">
    <w:abstractNumId w:val="5"/>
  </w:num>
  <w:num w:numId="4" w16cid:durableId="1043552777">
    <w:abstractNumId w:val="4"/>
  </w:num>
  <w:num w:numId="5" w16cid:durableId="980382446">
    <w:abstractNumId w:val="7"/>
  </w:num>
  <w:num w:numId="6" w16cid:durableId="980110783">
    <w:abstractNumId w:val="3"/>
  </w:num>
  <w:num w:numId="7" w16cid:durableId="1993561453">
    <w:abstractNumId w:val="2"/>
  </w:num>
  <w:num w:numId="8" w16cid:durableId="1656369762">
    <w:abstractNumId w:val="1"/>
  </w:num>
  <w:num w:numId="9" w16cid:durableId="124977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75"/>
    <w:rsid w:val="0015074B"/>
    <w:rsid w:val="0029639D"/>
    <w:rsid w:val="00326F90"/>
    <w:rsid w:val="00897A51"/>
    <w:rsid w:val="0097204F"/>
    <w:rsid w:val="00AA1D8D"/>
    <w:rsid w:val="00B47730"/>
    <w:rsid w:val="00CB0664"/>
    <w:rsid w:val="00E161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D6C03"/>
  <w14:defaultImageDpi w14:val="300"/>
  <w15:docId w15:val="{A40982AF-71C9-43BC-99BC-503E54FB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Mazur, Mateusz</cp:lastModifiedBy>
  <cp:revision>3</cp:revision>
  <dcterms:created xsi:type="dcterms:W3CDTF">2013-12-23T23:15:00Z</dcterms:created>
  <dcterms:modified xsi:type="dcterms:W3CDTF">2026-09-18T10:40:00Z</dcterms:modified>
  <cp:category/>
</cp:coreProperties>
</file>