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Konfigurowalny model uprawnień zamiast stałych ról junior / senior / admin: flowy procesowe, poziomy hierarchii (N0, N+1, N+2, N+3, NPR), role z sześcioma uprawnieniami funkcjonalnymi ustawianymi osobno w każdym flow, przypisania użytkowników do flow, reguły walidacji i macierz widoczności. Dane startowe zgodne z formularzem uprawnień i walidacji ofert z 22.09.2026 (Flow 1 - DYSTR, Flow 2 - PROJEKTY; CEO w Flow 2 na poziomie N+2).</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Migracja istniejących kont bez utraty haseł, sesji i historii: junior -&gt; Flow 1 / Internal Front Office, senior -&gt; Flow 1 / Area Sales Manager (zespół zachowany), admin -&gt; Administrator. Wszystkie dotychczasowe oferty przypisane do Flow 1. Nowe konto zakładane przez administratora nie ma dostępu, dopóki nie zostanie przypisane do flow i roli.</w:t>
            </w:r>
          </w:p>
        </w:tc>
      </w:tr>
      <w:tr w:rsidR="00F95910" w14:paraId="6E11586C" w14:textId="77777777">
        <w:tc>
          <w:tcPr>
            <w:tcW w:w="1948" w:type="dxa"/>
          </w:tcPr>
          <w:p w14:paraId="218A1FD0" w14:textId="77777777" w:rsidR="00F95910" w:rsidRDefault="00000000">
            <w:r>
              <w:t>Bezpieczeństwo</w:t>
            </w:r>
          </w:p>
        </w:tc>
        <w:tc>
          <w:tcPr>
            <w:tcW w:w="6908" w:type="dxa"/>
          </w:tcPr>
          <w:p w14:paraId="4AF32CFA" w14:textId="77777777" w:rsidR="00F95910" w:rsidRDefault="00000000">
            <w:r>
              <w:t>Uprawnienia sprawdzane przy każdym żądaniu na podstawie aktualnej konfiguracji w bazie (w kodzie nie ma już nazw ról). Widoczność ofert egzekwowana po stronie serwera dla list ofert, kolejki walidacji i panelu Analiza. Nikt nie zatwierdza własnej oferty, starsze wersje oferty są tylko do odczytu, żądania zmieniające dane z obcej domeny są odrzucane.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Automatyczne testy silnika reguł (npm test) obejmujące scenariusze T1-T5 z arkusza SYMULATOR oraz przypadki brzegowe (błędne daty ważności, wyzerowana wartość pozycji, eskalacja NPR).</w:t>
            </w:r>
          </w:p>
        </w:tc>
      </w:tr>
      <w:tr w:rsidR="00F95910" w14:paraId="6E11586C" w14:textId="77777777">
        <w:tc>
          <w:tcPr>
            <w:tcW w:w="1948" w:type="dxa"/>
          </w:tcPr>
          <w:p w14:paraId="218A1FD0" w14:textId="77777777" w:rsidR="00F95910" w:rsidRDefault="00000000">
            <w:r>
              <w:t>Bezpieczeństwo</w:t>
            </w:r>
          </w:p>
        </w:tc>
        <w:tc>
          <w:tcPr>
            <w:tcW w:w="6908" w:type="dxa"/>
          </w:tcPr>
          <w:p w14:paraId="4AF32CFA" w14:textId="77777777" w:rsidR="00F95910" w:rsidRDefault="00000000">
            <w:r>
              <w:t>Serwer sprawdza kompletność i spójność każdej pozycji przy zapisie oferty: gatunek, wymiary, tonaż oraz zgodność kwot (marża = (PGL + Σ Huta) × marża %, cena = PGL + Σ Huta + marża + dopłata + transport + Σ SSC, wartość = cena × tony). Oferta z niespójnymi wartościami jest odrzucana z komunikatem wskazującym pozycję. Przyczyna błędnych ofert testowych „SMOKE” (pozycje bez gatunku i wymiarów, cena 0 €/t przy wartości 100 €); dane testowe przeliczono poprawnie. Testy automatyczne z przykładem liczbowym (645 + 46, marża 7% = 48,37 → cena 814,37 €/t).</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Pola bazy PGL oraz ceny / marży są zablokowane, gdy rola w danym flow nie ma takiego uprawnienia (np. Front Office we Flow 1 nie zmienia bazy PGL). Serwer odrzuca niedozwoloną zmianę także przy zapisie z pominięciem interfejsu.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Zestawienie: nowa kolumna PGL oraz marża pokazywana jako kwota i procent (np. 73,22 / 7%). Kolumny ceny, tonażu i wartości nie zawijają się na węższych ekranach.</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Wymaga uruchomienia migracji 024 na bazie przed wdrożeniem.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Statystyki powodów odrzucenia w panelu Analiza: nowy panel „Powody odrzucenia przez klienta” pod wykresem wygranych i przegranych. Pokazuje, ile ofert (oraz ile ton i jaką wartość) przegrano z każdego powodu, wraz z udziałem procentowym - od najczęstszego powodu. Respektuje filtry panelu (okres, handlowiec, klient, typ stali) i wybraną walutę; przegrane sprzed wprowadzenia listy liczone są jako „Inne”.</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Dostępność nowych okien dialogowych (odrzucenie oferty przez seniora, powód odrzucenia przez klienta): klawisz Tab krąży tylko po elementach okna i nie wychodzi na stronę pod spodem, okno zamyka Escape lub kliknięcie w tło, a po zamknięciu fokus wraca na przycisk, który je otworzył. Pola mają etykiety dla czytników ekranu, a przycisk Anuluj jest zablokowany w trakcie zapisu.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Przycisk „Dashboard” (🏠) jako pierwsza zakładka głównej nawigacji dla osób walidujących (senior, admin): widoczny zaraz po zalogowaniu i prowadzi do ich panelu (senior – panel walidacji, admin – pulpit). Zastępuje osobne zakładki „Panel Seniora” i „Panel Admina”, które prowadziły do tych samych stron.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Silnik reguł walidacji: przy wysyłce do walidacji wymagany poziom akceptacji to najwyższy poziom spośród spełnionych reguł (marża poniżej zakładanej 4,5% -&gt; N+1, niedobór marży co najmniej 2,1 p.p. -&gt; N+2, obniżenie bazy wyceny -&gt; NPR, termin ważności powyżej 48h, ważność ceny kwartał / dłużej niż kwartał, wartość oferty powyżej 1 000 000 EUR). Reguła NPR to dodatkowa, równoległa akceptacja. Gdy żadna reguła nie jest spełniona albo poziom twórcy ją pokrywa, oferta może wyjść do klienta bez walidacji.</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Kolejka „Do walidacji”: oferta trafia do wszystkich osób z rolą na wymaganym poziomie w danym flow. Walidujący może ofertę edytować (reguły liczą się ponownie i mogą podnieść poziom), odrzucić z instrukcją dla handlowca, zatwierdzić albo zatwierdzić i od razu wysłać do klienta w imieniu handlowca (zapisywane jest, kto wysłał).</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Konflikt konfiguracji (scenariusz T5): gdy reguła wymaga poziomu, którego nie ma w danym flow, oferta jest eskalowana do najbliższego wyższego istniejącego poziomu z widoczną adnotacją. Administrator może zamiast tego wybrać blokadę wysyłki albo eskalację do najwyższego poziomu.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weryfikującego: klikalne kafelki jak w panelu administratora - „Oczekujące na weryfikację”, „Oczekujące na wysłanie” oraz oferty wg statusu. Kliknięcie filtruje listę i przewija do ofert z akcjami (zatwierdź / odrzuć / wyślij).</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„Uprawnienia” w panelu administratora: flowy i ich członkowie, role i poziomy hierarchii z uprawnieniami, edytor reguł walidacji z kontrolą kompletności konfiguracji (progi „do uzupełnienia”), symulator wymaganej walidacji z gotowymi scenariuszami T1-T5 oraz macierz widoczności z wyliczanym na bieżąco efektywnym zakresem.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Handlowcy: przypisanie osoby do roli w każdym flow, przełącznik Administratora, filtr po flow oraz widok piramidy (struktura organizacyjna flow: poziomy N0-N+3, NPR jako poziom równoległy, Administrator poza piramidą).</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Przełącznik aktywnego flow w nawigacji dla osób przypisanych do kilku flow oraz plakietka z rolą i poziomem. Nowe teksty interfejsu w czterech językach (PL / EN / CS / DE).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Przycisk ⚙️ Ustawienia obok flag języka na każdej stronie - skrót do ustawień dla administratora, od razu po zalogowaniu.</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1005E219"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1005E219"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1005E219" w14:textId="77777777" w:rsidR="00350740" w:rsidRPr="00C2208F" w:rsidRDefault="006F108A">
      <w:pPr>
        <w:pStyle w:val="Listapunktowana"/>
      </w:pPr>
      <w:r>
        <w:t>Część zasad formularza uprawnień jest niejednoznaczna lub wzajemnie sprzeczna (m.in. poziom CEO w Flow 2, kto zatwierdza obniżenie bazy, sposób liczenia marży i kwartału, opisy widoczności niezgodne z zaznaczeniami). Lista pytań do biznesu: „Historia wersji oraz md/questions_for_lukasz.md”; do czasu odpowiedzi działają przyjęte założenia opisane w tym pliku.</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69EDB93A"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69EDB93A" w14:textId="77777777" w:rsidR="00A14329" w:rsidRDefault="00250F91">
      <w:pPr>
        <w:pStyle w:val="Listapunktowana"/>
      </w:pPr>
      <w:r>
        <w:t>Omówienie z biznesem listy otwartych pytań do modelu uprawnień (questions_for_lukasz.md) i naniesienie odpowiedzi w panelu Uprawnienia (progi, poziomy, widoczność).</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