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88717" w14:textId="77777777" w:rsidR="00BA4AAF" w:rsidRDefault="00250F91">
      <w:r>
        <w:rPr>
          <w:b/>
          <w:color w:val="1F2A44"/>
          <w:sz w:val="56"/>
        </w:rPr>
        <w:t>AMSteel Quote</w:t>
      </w:r>
    </w:p>
    <w:p w14:paraId="47B33ED8" w14:textId="77777777" w:rsidR="00BA4AAF" w:rsidRDefault="00250F91">
      <w:pPr>
        <w:pBdr>
          <w:bottom w:val="single" w:sz="12" w:space="4" w:color="2B57A6"/>
        </w:pBdr>
        <w:spacing w:after="280"/>
      </w:pPr>
      <w:r>
        <w:rPr>
          <w:color w:val="2B57A6"/>
          <w:sz w:val="30"/>
        </w:rPr>
        <w:t>Raport wersji / Dziennik zmian</w:t>
      </w:r>
    </w:p>
    <w:tbl>
      <w:tblPr>
        <w:tblW w:w="0" w:type="auto"/>
        <w:tblLook w:val="04A0" w:firstRow="1" w:lastRow="0" w:firstColumn="1" w:lastColumn="0" w:noHBand="0" w:noVBand="1"/>
      </w:tblPr>
      <w:tblGrid>
        <w:gridCol w:w="3118"/>
        <w:gridCol w:w="5669"/>
      </w:tblGrid>
      <w:tr w:rsidR="00BA4AAF" w14:paraId="5F212DAD" w14:textId="77777777">
        <w:tc>
          <w:tcPr>
            <w:tcW w:w="3118" w:type="dxa"/>
          </w:tcPr>
          <w:p w14:paraId="427EB4DE" w14:textId="77777777" w:rsidR="00BA4AAF" w:rsidRDefault="00250F91">
            <w:r>
              <w:rPr>
                <w:b/>
                <w:color w:val="1F2A44"/>
              </w:rPr>
              <w:t>Programista:</w:t>
            </w:r>
          </w:p>
        </w:tc>
        <w:tc>
          <w:tcPr>
            <w:tcW w:w="5669" w:type="dxa"/>
          </w:tcPr>
          <w:p w14:paraId="11ED7EAB" w14:textId="77777777" w:rsidR="00BA4AAF" w:rsidRDefault="00250F91">
            <w:r>
              <w:rPr>
                <w:color w:val="1F2A44"/>
              </w:rPr>
              <w:t>Mateusz Mazur</w:t>
            </w:r>
          </w:p>
        </w:tc>
      </w:tr>
      <w:tr w:rsidR="00BA4AAF" w14:paraId="46D139EE" w14:textId="77777777">
        <w:tc>
          <w:tcPr>
            <w:tcW w:w="3118" w:type="dxa"/>
          </w:tcPr>
          <w:p w14:paraId="16E23199" w14:textId="77777777" w:rsidR="00BA4AAF" w:rsidRDefault="00250F91">
            <w:r>
              <w:rPr>
                <w:b/>
                <w:color w:val="1F2A44"/>
              </w:rPr>
              <w:t>Wersja:</w:t>
            </w:r>
          </w:p>
        </w:tc>
        <w:tc>
          <w:tcPr>
            <w:tcW w:w="5669" w:type="dxa"/>
          </w:tcPr>
          <w:p w14:paraId="7E9575B2" w14:textId="77777777" w:rsidR="00BA4AAF" w:rsidRDefault="00250F91">
            <w:r>
              <w:rPr>
                <w:color w:val="1F2A44"/>
              </w:rPr>
              <w:t>1.7</w:t>
            </w:r>
          </w:p>
        </w:tc>
      </w:tr>
      <w:tr w:rsidR="00BA4AAF" w14:paraId="6D110194" w14:textId="77777777">
        <w:tc>
          <w:tcPr>
            <w:tcW w:w="3118" w:type="dxa"/>
          </w:tcPr>
          <w:p w14:paraId="63A83A7F" w14:textId="77777777" w:rsidR="00BA4AAF" w:rsidRDefault="00250F91">
            <w:r>
              <w:rPr>
                <w:b/>
                <w:color w:val="1F2A44"/>
              </w:rPr>
              <w:t>Okres developmentu:</w:t>
            </w:r>
          </w:p>
        </w:tc>
        <w:tc>
          <w:tcPr>
            <w:tcW w:w="5669" w:type="dxa"/>
          </w:tcPr>
          <w:p w14:paraId="47D90E93" w14:textId="77777777" w:rsidR="00BA4AAF" w:rsidRDefault="002F24E4">
            <w:r>
              <w:t>01.09.2026 -</w:t>
            </w:r>
            <w:proofErr w:type="gramStart"/>
            <w:r>
              <w:t xml:space="preserve"> ..</w:t>
            </w:r>
            <w:proofErr w:type="gramEnd"/>
          </w:p>
        </w:tc>
      </w:tr>
      <w:tr w:rsidR="00BA4AAF" w14:paraId="2FE7BBCB" w14:textId="77777777">
        <w:tc>
          <w:tcPr>
            <w:tcW w:w="3118" w:type="dxa"/>
          </w:tcPr>
          <w:p w14:paraId="40768559" w14:textId="77777777" w:rsidR="00BA4AAF" w:rsidRDefault="00250F91">
            <w:r>
              <w:rPr>
                <w:b/>
                <w:color w:val="1F2A44"/>
              </w:rPr>
              <w:t>Data raportu:</w:t>
            </w:r>
          </w:p>
        </w:tc>
        <w:tc>
          <w:tcPr>
            <w:tcW w:w="5669" w:type="dxa"/>
          </w:tcPr>
          <w:p w14:paraId="1DE68778" w14:textId="77777777" w:rsidR="00BA4AAF" w:rsidRDefault="00C302B7">
            <w:r>
              <w:t>01.09.2026</w:t>
            </w:r>
          </w:p>
        </w:tc>
      </w:tr>
    </w:tbl>
    <w:p w14:paraId="681C333C" w14:textId="77777777" w:rsidR="00BA4AAF" w:rsidRDefault="00BA4AAF"/>
    <w:p w14:paraId="1CE6727F" w14:textId="77777777" w:rsidR="00BA4AAF" w:rsidRDefault="00250F91">
      <w:pPr>
        <w:spacing w:before="280" w:after="120"/>
      </w:pPr>
      <w:r>
        <w:rPr>
          <w:b/>
          <w:color w:val="1F2A44"/>
          <w:sz w:val="28"/>
        </w:rPr>
        <w:t>Historia wersji</w:t>
      </w:r>
    </w:p>
    <w:p w14:paraId="4FC3229D" w14:textId="77777777" w:rsidR="00BA4AAF" w:rsidRDefault="00250F91">
      <w:r>
        <w:rPr>
          <w:i/>
          <w:color w:val="666666"/>
          <w:sz w:val="19"/>
        </w:rPr>
        <w:t>Pełny rejestr wszystkich wydanych wersji - najnowsza na górze.</w:t>
      </w:r>
    </w:p>
    <w:tbl>
      <w:tblPr>
        <w:tblStyle w:val="Tabela-Siatka"/>
        <w:tblW w:w="0" w:type="auto"/>
        <w:tblLook w:val="04A0" w:firstRow="1" w:lastRow="0" w:firstColumn="1" w:lastColumn="0" w:noHBand="0" w:noVBand="1"/>
      </w:tblPr>
      <w:tblGrid>
        <w:gridCol w:w="1226"/>
        <w:gridCol w:w="2481"/>
        <w:gridCol w:w="1568"/>
        <w:gridCol w:w="3581"/>
      </w:tblGrid>
      <w:tr w:rsidR="00BA4AAF" w14:paraId="22609F19" w14:textId="77777777" w:rsidTr="006F108A">
        <w:tc>
          <w:tcPr>
            <w:tcW w:w="1226" w:type="dxa"/>
            <w:shd w:val="clear" w:color="auto" w:fill="2B57A6"/>
          </w:tcPr>
          <w:p w14:paraId="0C13CEE2" w14:textId="77777777" w:rsidR="00BA4AAF" w:rsidRDefault="00250F91">
            <w:r>
              <w:rPr>
                <w:b/>
                <w:color w:val="FFFFFF"/>
              </w:rPr>
              <w:t>Wersja</w:t>
            </w:r>
          </w:p>
        </w:tc>
        <w:tc>
          <w:tcPr>
            <w:tcW w:w="2481" w:type="dxa"/>
            <w:shd w:val="clear" w:color="auto" w:fill="2B57A6"/>
          </w:tcPr>
          <w:p w14:paraId="6EF47284" w14:textId="77777777" w:rsidR="00BA4AAF" w:rsidRDefault="00250F91">
            <w:r>
              <w:rPr>
                <w:b/>
                <w:color w:val="FFFFFF"/>
              </w:rPr>
              <w:t>Okres</w:t>
            </w:r>
          </w:p>
        </w:tc>
        <w:tc>
          <w:tcPr>
            <w:tcW w:w="1568" w:type="dxa"/>
            <w:shd w:val="clear" w:color="auto" w:fill="2B57A6"/>
          </w:tcPr>
          <w:p w14:paraId="32DA178F" w14:textId="77777777" w:rsidR="00BA4AAF" w:rsidRDefault="00250F91">
            <w:r>
              <w:rPr>
                <w:b/>
                <w:color w:val="FFFFFF"/>
              </w:rPr>
              <w:t>Data</w:t>
            </w:r>
          </w:p>
        </w:tc>
        <w:tc>
          <w:tcPr>
            <w:tcW w:w="3581" w:type="dxa"/>
            <w:shd w:val="clear" w:color="auto" w:fill="2B57A6"/>
          </w:tcPr>
          <w:p w14:paraId="73C6881C" w14:textId="77777777" w:rsidR="00BA4AAF" w:rsidRDefault="00250F91">
            <w:r>
              <w:rPr>
                <w:b/>
                <w:color w:val="FFFFFF"/>
              </w:rPr>
              <w:t>Krótkie podsumowanie zmian</w:t>
            </w:r>
          </w:p>
        </w:tc>
      </w:tr>
      <w:tr w:rsidR="00F95910" w14:paraId="2A625982" w14:textId="77777777">
        <w:tc>
          <w:tcPr>
            <w:tcW w:w="1226" w:type="dxa"/>
          </w:tcPr>
          <w:p w14:paraId="6FC43E8C" w14:textId="77777777" w:rsidR="00F95910" w:rsidRDefault="00000000">
            <w:r>
              <w:t>1.7</w:t>
            </w:r>
          </w:p>
        </w:tc>
        <w:tc>
          <w:tcPr>
            <w:tcW w:w="2481" w:type="dxa"/>
          </w:tcPr>
          <w:p w14:paraId="56A0711A" w14:textId="456B61AD" w:rsidR="00F95910" w:rsidRDefault="000B0BCE">
            <w:r>
              <w:t>01.09.2026</w:t>
            </w:r>
            <w:r w:rsidR="003D389F">
              <w:t>, 10.09.2026</w:t>
            </w:r>
          </w:p>
        </w:tc>
        <w:tc>
          <w:tcPr>
            <w:tcW w:w="1568" w:type="dxa"/>
          </w:tcPr>
          <w:p w14:paraId="641FD02E" w14:textId="77777777" w:rsidR="00F95910" w:rsidRDefault="00505D3B">
            <w:r>
              <w:t>..</w:t>
            </w:r>
          </w:p>
        </w:tc>
        <w:tc>
          <w:tcPr>
            <w:tcW w:w="3581" w:type="dxa"/>
          </w:tcPr>
          <w:p w14:paraId="33825778" w14:textId="77777777" w:rsidR="00F95910" w:rsidRDefault="00F95910">
            <w:r>
              <w:t xml:space="preserve">Naprawiono błąd zapisu decyzji klienta (wygrana / przegrana) na ofercie wysłanej - konflikt typów parametru w zapytaniu SQL (kod 42P08); wcześniej funkcja nie zapisywała żadnej decyzji. Zablokowano wysyłkę oferty do klienta bez danych firmy klienta (nazwa firmy i NIP) - tworzenie i zapis oferty bez tych danych nadal działają. Senior może zbudować zespół z juniorów (sekcja „Mój zespół” w panelu seniora i administratora), a panel „Analiza” pokazuje mu wtedy dane własne oraz całego zespołu, z możliwością zawężenia do siebie lub wybranego juniora. Eksport ofert, panelu „Analiza” i historii PGL do Excela otwiera się teraz z kolumnami dopasowanymi do zawartości, bez ręcznego rozciągania. Dodano automatyczne liczenie transportu z trasy dostawy: rzeczywista odległość drogowa do klienta, cennik przewoźnika w pasmach kilometrowych, przeliczanie na kursy według ładowności 21 t i dopłaty za </w:t>
            </w:r>
            <w:r>
              <w:t>elementy ponadwymiarowe, wraz z edytowalnym cennikiem w panelu administratora. Wysoki kontrast (jasny i ciemny) przeszedł na nowoczesną paletę kolorów wspólną ze zwykłym motywem – zamiast czerni-na-bieli tryb ten daje teraz większą czcionkę, powiększony widok i grubsze obramowania przy firmowych kolorach. Naprawiono też fałszywe ostrzeżenie o niezapisanych zmianach po rozpoczęciu nowej oferty w trakcie edycji zapisanej – pojawiało się mimo pustego, niezmienionego formularza. Blacha łezkowa otrzymała dopłatę wymiarową zależną od szerokości (30 €/t do 1,5 m, 45 €/t powyżej) oraz własną tabelę gatunków z domyślnym S235JR+N.</w:t>
            </w:r>
          </w:p>
        </w:tc>
      </w:tr>
      <w:tr w:rsidR="00F95910" w14:paraId="75459665" w14:textId="77777777">
        <w:tc>
          <w:tcPr>
            <w:tcW w:w="1226" w:type="dxa"/>
          </w:tcPr>
          <w:p w14:paraId="1A108B93" w14:textId="77777777" w:rsidR="00F95910" w:rsidRDefault="00000000">
            <w:r>
              <w:lastRenderedPageBreak/>
              <w:t>1.6</w:t>
            </w:r>
          </w:p>
        </w:tc>
        <w:tc>
          <w:tcPr>
            <w:tcW w:w="2481" w:type="dxa"/>
          </w:tcPr>
          <w:p w14:paraId="07C7347D" w14:textId="77777777" w:rsidR="00F95910" w:rsidRDefault="000B0BCE">
            <w:r>
              <w:t>19.08.2026 - 01.09.2026</w:t>
            </w:r>
          </w:p>
        </w:tc>
        <w:tc>
          <w:tcPr>
            <w:tcW w:w="1568" w:type="dxa"/>
          </w:tcPr>
          <w:p w14:paraId="003547BA" w14:textId="77777777" w:rsidR="00F95910" w:rsidRDefault="00505D3B">
            <w:r>
              <w:t>01.09.2026</w:t>
            </w:r>
          </w:p>
        </w:tc>
        <w:tc>
          <w:tcPr>
            <w:tcW w:w="3581" w:type="dxa"/>
          </w:tcPr>
          <w:p w14:paraId="170D5369" w14:textId="77777777" w:rsidR="00F95910" w:rsidRDefault="00F95910">
            <w:r>
              <w:t>Uzupełniono tabelę gatunków PICKLED (HRS Trawiona) o brakujący zakres SAPH 440 -&gt; DD12 wraz z dodatkowymi gatunkami (K367-DD14+B, FE 600 DP, S300EK, P265GH, P275SL, P355NL2, SA516G60-LOWSI, S240 D), na podstawie danych przekazanych przez klienta. Poprawiono czytelność etykiet wersjonowania na liście ofert (numer oferty offer_id/offer_</w:t>
            </w:r>
            <w:proofErr w:type="gramStart"/>
            <w:r>
              <w:t>id.N</w:t>
            </w:r>
            <w:proofErr w:type="gramEnd"/>
            <w:r>
              <w:t xml:space="preserve"> zamieniony miejscami z nazwą oferty jako główny nagłówek wiersza, wyraźniejsza etykieta „poprzednia wersja”). Przycisk „Aktualizuj pozycję” w kalkulatorze zmienia teraz kolor na niebieski podczas edycji istniejącej pozycji, aby odróżnić go od żółtego przycisku dodawania nowej pozycji. Kliknięcie pozycji na liście zestawienia (wiersz lub ołówek) przewija teraz widok automatycznie do góry kalkulatora. Cena bazowa PGL jest od teraz zawsze w EUR (€/t), niezależnie od waluty oferty. Podczas edycji zapisanej oferty w kalkulatorze pojawia się teraz wyraźny baner „Teraz edytujesz ofertę: offer_id”, tak by nie pomylić jej z tworzeniem nowej wyceny; baner pokazuje właściwy numer wersji (np. offer_27.1), nie surowe wewnętrzne ID wiersza w bazie. Tryb wysokiego kontrastu doczekał się osobnych wariantów jasnego i ciemnego (wcześniej był to jeden, stały motyw ignorujący przełącznik jasny/ciemny) - przełączanie między jasnym a ciemnym motywem działa teraz poprawnie również przy włączonym wysokim kontraście, a wyłączenie wysokiego kontrastu przywraca wcześniej wybrany motyw jasny lub ciemny. Poprawiono też kilka miejsc w interfejsie (pasek „Suma Huta”, </w:t>
            </w:r>
            <w:r>
              <w:lastRenderedPageBreak/>
              <w:t>przyciski przełączające, podpowiedzi gatunków, komunikaty ostrzegawcze), w których kolory tła i tekstu były zapisane na sztywno pod jasny wysoki kontrast i stawały się nieczytelne w wariancie ciemnym. Panel administratora zyskał filtrowanie i sortowanie historii zmian cen bazowych PGL (po typie stali, zakresie dat i dowolnej kolumnie tabeli) wraz z przyciskiem czyszczącym filtry; eksport do Excela odzwierciedla teraz aktualnie wybrany widok, a nie zawsze całą historię. Generowanie oferty PDF respektuje teraz język interfejsu wybrany przez handlowca (PL/EN/CS/DE) - wcześniej cały szablon PDF (nagłówki tabeli, etykiety danych klienta, uwagi prawne w stopce, podpisy) był na sztywno po polsku, niezależnie od języka ustawionego w aplikacji. Na liście „Moje oferty” naprawiono kliknięcie w rozwiniętej historii wersji ofert, które błędnie otwierało do edycji zawsze najnowszą wersję zamiast tej faktycznie klikniętej. W tej samej wersji dodano panel „Analiza” dla wszystkich ról (tonaż zaoferowany, wygrany i przegrany, wskaźnik skuteczności, rozbicie w czasie oraz według typu stali i klienta, tabela ofert z eksportem; zakres danych ustalany po stronie serwera - junior i senior widzą własne oferty, administrator całą firmę) wraz z nową osią „decyzja klienta” na ofercie wysłanej („wygrana” / „przegrana” / „oczekująca”, migracja 018), niezależną od statusu obiegu oferty.</w:t>
            </w:r>
          </w:p>
        </w:tc>
      </w:tr>
      <w:tr w:rsidR="00F95910" w14:paraId="47168648" w14:textId="77777777">
        <w:tc>
          <w:tcPr>
            <w:tcW w:w="1226" w:type="dxa"/>
          </w:tcPr>
          <w:p w14:paraId="09A79231" w14:textId="77777777" w:rsidR="00F95910" w:rsidRDefault="00000000">
            <w:r>
              <w:lastRenderedPageBreak/>
              <w:t>1.5</w:t>
            </w:r>
          </w:p>
        </w:tc>
        <w:tc>
          <w:tcPr>
            <w:tcW w:w="2481" w:type="dxa"/>
          </w:tcPr>
          <w:p w14:paraId="7CA02442" w14:textId="77777777" w:rsidR="00F95910" w:rsidRDefault="000B0BCE">
            <w:r>
              <w:t>10.08.2026 - 13.08.2026, 17.08.2026</w:t>
            </w:r>
          </w:p>
        </w:tc>
        <w:tc>
          <w:tcPr>
            <w:tcW w:w="1568" w:type="dxa"/>
          </w:tcPr>
          <w:p w14:paraId="269BFC9A" w14:textId="77777777" w:rsidR="00F95910" w:rsidRDefault="00505D3B">
            <w:r>
              <w:t>18.08.2026</w:t>
            </w:r>
          </w:p>
        </w:tc>
        <w:tc>
          <w:tcPr>
            <w:tcW w:w="3581" w:type="dxa"/>
          </w:tcPr>
          <w:p w14:paraId="493666E7" w14:textId="77777777" w:rsidR="00F95910" w:rsidRDefault="00000000">
            <w:r>
              <w:t xml:space="preserve">Naprawiono brak synchronizacji kontaktu głównego wpisywanego w panelu „Klienci” z tabelą osób kontaktowych - dane osoby zapisane przy edycji firmy nie pojawiały się w zakładce „Kontakty”. Panel „Klienci” </w:t>
            </w:r>
            <w:r>
              <w:lastRenderedPageBreak/>
              <w:t>zyskał akcję „Kontakty” przy każdej firmie: rozwija listę zapisanych dla niej osób z możliwością edycji i usunięcia każdej z osobna oraz formularzem dodania kolejnej, bez przechodzenia do osobnej zakładki. Dodano migrację uzupełniającą kontakty zapisane, zanim ta poprawka weszła w życie. Dodano tryb „Wysoki kontrast” (przycisk obok Jasny/Ciemny, dostępny na wszystkich podstronach). W tym samym okresie dodano historię zmian cen bazowych PGL z eksportem do Excela, kolorowe oznaczenia typów stali HRS/CR/HDG w panelu ustawień oraz klikalne kafelki statusów na pulpicie administratora, a w kalkulatorze kliknięcie wiersza pozycji otwiera ją do edycji. Kolumna „Uwagi” w PDF oferty pokazuje teraz pełny zestaw wybranych dopłat dla każdej pozycji. Panel ustawień administratora zyskał próg „Minimalna marża (%)” - junior może odtąd wysłać ofertę do klienta bezpośrednio z szkicu, bez zatwierdzenia seniora/administratora, jeśli każda pozycja ma marżę i PGL bazowe w normie; w przeciwnym razie oferta nadal wymaga pełnej ścieżki zatwierdzenia. Kliknięcie w ofertę na liście (Moje oferty, Panel seniora, Panel administratora) otwiera ją teraz do edycji, tak jak pozycje w kalkulatorze. Edycja już zapisanej oferty nie nadpisuje jej w miejscu - zapisuje nową wersję („offer_30.1”, „offer_30.</w:t>
            </w:r>
            <w:proofErr w:type="gramStart"/>
            <w:r>
              <w:t>2”...</w:t>
            </w:r>
            <w:proofErr w:type="gramEnd"/>
            <w:r>
              <w:t xml:space="preserve">), a poprzednie wersje zostają widoczne pod rozwijaną listą na tej samej karcie. W tym samym okresie dodano trzy nowe typy stali obok HRS/CR/HDG: PICKLED (HRS Trawiona), TEARDROP (Blacha łezkowa) i ZM (Magnelis) - wraz z własnymi tabelami gatunków, matrycami dopłat wymiarowych i </w:t>
            </w:r>
            <w:r>
              <w:lastRenderedPageBreak/>
              <w:t>(dla ZM) matrycą powłoki, w oparciu o dane przekazane przez klienta.</w:t>
            </w:r>
          </w:p>
        </w:tc>
      </w:tr>
      <w:tr w:rsidR="007958E8" w14:paraId="5E1815F3" w14:textId="77777777">
        <w:tc>
          <w:tcPr>
            <w:tcW w:w="1226" w:type="dxa"/>
          </w:tcPr>
          <w:p w14:paraId="462A543E" w14:textId="77777777" w:rsidR="007958E8" w:rsidRDefault="00000000">
            <w:r>
              <w:lastRenderedPageBreak/>
              <w:t>1.4</w:t>
            </w:r>
          </w:p>
        </w:tc>
        <w:tc>
          <w:tcPr>
            <w:tcW w:w="2481" w:type="dxa"/>
          </w:tcPr>
          <w:p w14:paraId="60EEB16D" w14:textId="77777777" w:rsidR="007958E8" w:rsidRDefault="008120C4">
            <w:r>
              <w:t>31.07.2026 - 4.08.2026, 10.08.2026</w:t>
            </w:r>
          </w:p>
        </w:tc>
        <w:tc>
          <w:tcPr>
            <w:tcW w:w="1568" w:type="dxa"/>
          </w:tcPr>
          <w:p w14:paraId="401999CF" w14:textId="77777777" w:rsidR="007958E8" w:rsidRDefault="00FC2BFC">
            <w:r>
              <w:t>10.08.2026</w:t>
            </w:r>
          </w:p>
        </w:tc>
        <w:tc>
          <w:tcPr>
            <w:tcW w:w="3581" w:type="dxa"/>
          </w:tcPr>
          <w:p w14:paraId="312E73AA" w14:textId="77777777" w:rsidR="007958E8" w:rsidRDefault="007958E8">
            <w:r>
              <w:t>Poprawki bezpieczeństwa eksportu PDF: dane oferty i klienta wpisywane przez handlowca są zabezpieczane przed wykonaniem jako kod po stronie usługi generującej dokument, a samo generowanie PDF wymaga jawnie potwierdzonej roli użytkownika. W kalkulatorze dodano ostrzeżenie przy edycji pozycji dodanych przed wersją 1.3, dla których konfiguracja dopłat nie została zapisana i nie da się jej automatycznie odtworzyć. Przebudowano panel danych klienta w kalkulatorze: dane firmy (firma, NIP, adres, SAP ID) zostały oddzielone od danych kontaktowych, a pola „Firma” i „NIP” działają jak wyszukiwarki po katalogu klientów. Osoby kontaktowe są od teraz wspólne dla całego działu - jedna firma może mieć ich wiele, a pole imienia podpowiada je od razu po kliknięciu. Naprawiono także brak natychmiastowej widoczności zmian ustawień administratora (PGL bazowe, kurs EUR/PLN) w kalkulatorze bez przeładowania strony, a PGL bazowe skonfigurowano osobno dla typów stali HRS, CR i HDG. Cena końcowa oraz sumy wartości w kalkulatorze, na liście ofert i w PDF są od teraz zaokrąglane w górę do pełnej jednostki waluty - świadoma decyzja biznesowa, żeby nigdy nie zaniżyć ceny wobec klienta.</w:t>
            </w:r>
          </w:p>
        </w:tc>
      </w:tr>
      <w:tr w:rsidR="006F108A" w14:paraId="116EBC74" w14:textId="77777777">
        <w:tc>
          <w:tcPr>
            <w:tcW w:w="1226" w:type="dxa"/>
          </w:tcPr>
          <w:p w14:paraId="5D0EF945" w14:textId="77777777" w:rsidR="006F108A" w:rsidRDefault="006F108A">
            <w:pPr>
              <w:rPr>
                <w:b/>
              </w:rPr>
            </w:pPr>
            <w:r>
              <w:rPr>
                <w:b/>
              </w:rPr>
              <w:t>1.3</w:t>
            </w:r>
          </w:p>
        </w:tc>
        <w:tc>
          <w:tcPr>
            <w:tcW w:w="2481" w:type="dxa"/>
          </w:tcPr>
          <w:p w14:paraId="227DBEC9" w14:textId="77777777" w:rsidR="006F108A" w:rsidRDefault="006F108A">
            <w:r>
              <w:t>16.07.2026 - 31.07.2026</w:t>
            </w:r>
          </w:p>
        </w:tc>
        <w:tc>
          <w:tcPr>
            <w:tcW w:w="1568" w:type="dxa"/>
          </w:tcPr>
          <w:p w14:paraId="4D0CDC04" w14:textId="77777777" w:rsidR="006F108A" w:rsidRDefault="008120C4">
            <w:r>
              <w:t>31.07.2026</w:t>
            </w:r>
          </w:p>
        </w:tc>
        <w:tc>
          <w:tcPr>
            <w:tcW w:w="3581" w:type="dxa"/>
          </w:tcPr>
          <w:p w14:paraId="01616BBC" w14:textId="77777777" w:rsidR="006F108A" w:rsidRDefault="006F108A">
            <w:r>
              <w:t xml:space="preserve">Panel administratora zyskał obsługę zatwierdzania, odrzucania i edycji ofert; wysyłka do klienta rozszerzona na starszego handlowca i administratora wraz z zakładkami szybkiego filtrowania; dodane języki czeski i niemiecki oraz sortowanie listy ofert. Dodano panel ustawień administratora (kurs EUR/PLN, PGL </w:t>
            </w:r>
            <w:r>
              <w:lastRenderedPageBreak/>
              <w:t>bazowe, transport bazowy) oraz przełącznik waluty EURO/PLN w kalkulatorze; oferta zapamiętuje walutę handlowca i kurs z dnia wyceny. Dodano trwałe, unikalne numery ofert wraz z automatyczną nazwą zastępczą „offer_&lt;numer&gt;” dla ofert bez tytułu oraz wyszukiwarkę ofert (po nazwie, nazwie zastępczej i numerze); uprawnienia administratora zrównane ze starszym handlowcem na własnych ofertach.</w:t>
            </w:r>
          </w:p>
        </w:tc>
      </w:tr>
      <w:tr w:rsidR="00404AB3" w14:paraId="044CC265" w14:textId="77777777">
        <w:tc>
          <w:tcPr>
            <w:tcW w:w="1226" w:type="dxa"/>
          </w:tcPr>
          <w:p w14:paraId="6040679C" w14:textId="77777777" w:rsidR="00404AB3" w:rsidRDefault="00250F91">
            <w:r>
              <w:rPr>
                <w:b/>
              </w:rPr>
              <w:lastRenderedPageBreak/>
              <w:t>1.2</w:t>
            </w:r>
          </w:p>
        </w:tc>
        <w:tc>
          <w:tcPr>
            <w:tcW w:w="2481" w:type="dxa"/>
          </w:tcPr>
          <w:p w14:paraId="21D3BD3A" w14:textId="77777777" w:rsidR="00404AB3" w:rsidRDefault="00250F91">
            <w:r>
              <w:t>13.07.2026 - 16.07.2026</w:t>
            </w:r>
          </w:p>
        </w:tc>
        <w:tc>
          <w:tcPr>
            <w:tcW w:w="1568" w:type="dxa"/>
          </w:tcPr>
          <w:p w14:paraId="530F2B4B" w14:textId="77777777" w:rsidR="00404AB3" w:rsidRDefault="00250F91">
            <w:r>
              <w:t>16.07.2026</w:t>
            </w:r>
          </w:p>
        </w:tc>
        <w:tc>
          <w:tcPr>
            <w:tcW w:w="3581" w:type="dxa"/>
          </w:tcPr>
          <w:p w14:paraId="07FCB231" w14:textId="77777777" w:rsidR="00404AB3" w:rsidRDefault="00250F91">
            <w:r>
              <w:t>Poprawki regresji po integracji podczas Deployu (m.in. krytyczny błąd edycji pozycji, przywrócona waga arkusza), ujednolicenie generowania PDF na wersję serwerową, zamknięcie rejestracji kont dla administratora oraz eksport ofert do Excela w formacie KTS/GPAO.</w:t>
            </w:r>
          </w:p>
        </w:tc>
      </w:tr>
      <w:tr w:rsidR="009F095F" w14:paraId="68A9A85C" w14:textId="77777777" w:rsidTr="006F108A">
        <w:tc>
          <w:tcPr>
            <w:tcW w:w="1226" w:type="dxa"/>
          </w:tcPr>
          <w:p w14:paraId="0FCA3FD6" w14:textId="77777777" w:rsidR="009F095F" w:rsidRDefault="00250F91">
            <w:r>
              <w:rPr>
                <w:b/>
                <w:color w:val="1F2A44"/>
              </w:rPr>
              <w:t>1.1</w:t>
            </w:r>
          </w:p>
        </w:tc>
        <w:tc>
          <w:tcPr>
            <w:tcW w:w="2481" w:type="dxa"/>
          </w:tcPr>
          <w:p w14:paraId="5CFFAF7C" w14:textId="77777777" w:rsidR="009F095F" w:rsidRDefault="00250F91">
            <w:r>
              <w:rPr>
                <w:color w:val="666666"/>
              </w:rPr>
              <w:t>6.07.2026 - 13.07.2026</w:t>
            </w:r>
          </w:p>
        </w:tc>
        <w:tc>
          <w:tcPr>
            <w:tcW w:w="1568" w:type="dxa"/>
          </w:tcPr>
          <w:p w14:paraId="57FC1178" w14:textId="77777777" w:rsidR="009F095F" w:rsidRDefault="00250F91">
            <w:r>
              <w:rPr>
                <w:color w:val="666666"/>
              </w:rPr>
              <w:t>13.07.2026</w:t>
            </w:r>
          </w:p>
        </w:tc>
        <w:tc>
          <w:tcPr>
            <w:tcW w:w="3581" w:type="dxa"/>
          </w:tcPr>
          <w:p w14:paraId="7C37183C" w14:textId="77777777" w:rsidR="009F095F" w:rsidRDefault="00250F91">
            <w:r>
              <w:t>Role użytkowników (młodszy/starszy handlowiec, administrator), obieg akceptacji ofert, panel administratora i panel seniora, migracje bazy danych, tłumaczenia PL/EN. Wdrożone na środowisko produkcyjne.</w:t>
            </w:r>
          </w:p>
        </w:tc>
      </w:tr>
      <w:tr w:rsidR="00BA4AAF" w14:paraId="260EB967" w14:textId="77777777" w:rsidTr="006F108A">
        <w:tc>
          <w:tcPr>
            <w:tcW w:w="1226" w:type="dxa"/>
          </w:tcPr>
          <w:p w14:paraId="4FACC749" w14:textId="77777777" w:rsidR="00BA4AAF" w:rsidRDefault="00250F91">
            <w:r>
              <w:rPr>
                <w:b/>
                <w:color w:val="1F2A44"/>
              </w:rPr>
              <w:t>1.0</w:t>
            </w:r>
          </w:p>
        </w:tc>
        <w:tc>
          <w:tcPr>
            <w:tcW w:w="2481" w:type="dxa"/>
          </w:tcPr>
          <w:p w14:paraId="32660AA5" w14:textId="77777777" w:rsidR="00BA4AAF" w:rsidRDefault="00492984">
            <w:r>
              <w:rPr>
                <w:color w:val="666666"/>
              </w:rPr>
              <w:t>do dnia 31.03.2026</w:t>
            </w:r>
          </w:p>
        </w:tc>
        <w:tc>
          <w:tcPr>
            <w:tcW w:w="1568" w:type="dxa"/>
          </w:tcPr>
          <w:p w14:paraId="0FB32E97" w14:textId="77777777" w:rsidR="00BA4AAF" w:rsidRDefault="00492984">
            <w:r>
              <w:rPr>
                <w:color w:val="666666"/>
              </w:rPr>
              <w:t>6.07.2026</w:t>
            </w:r>
          </w:p>
        </w:tc>
        <w:tc>
          <w:tcPr>
            <w:tcW w:w="3581" w:type="dxa"/>
          </w:tcPr>
          <w:p w14:paraId="680F17BE" w14:textId="77777777" w:rsidR="00BA4AAF" w:rsidRPr="008709B9" w:rsidRDefault="00250F91">
            <w:r>
              <w:t xml:space="preserve">Wersja </w:t>
            </w:r>
            <w:proofErr w:type="gramStart"/>
            <w:r>
              <w:t>bazowa  -</w:t>
            </w:r>
            <w:proofErr w:type="gramEnd"/>
            <w:r>
              <w:t xml:space="preserve"> stan wyjściowy aplikacji.</w:t>
            </w:r>
          </w:p>
        </w:tc>
      </w:tr>
    </w:tbl>
    <w:p w14:paraId="1DEB750B" w14:textId="77777777" w:rsidR="00BA4AAF" w:rsidRDefault="00BA4AAF"/>
    <w:p w14:paraId="6CF5EB8E" w14:textId="77777777" w:rsidR="00BA4AAF" w:rsidRDefault="006F108A">
      <w:pPr>
        <w:pBdr>
          <w:bottom w:val="single" w:sz="12" w:space="4" w:color="2B57A6"/>
        </w:pBdr>
        <w:spacing w:before="200" w:after="80"/>
      </w:pPr>
      <w:r>
        <w:rPr>
          <w:b/>
          <w:color w:val="1F2A44"/>
          <w:sz w:val="32"/>
        </w:rPr>
        <w:t>Zmiany w wersji 1.7</w:t>
      </w:r>
    </w:p>
    <w:p w14:paraId="315A8825" w14:textId="77777777" w:rsidR="00BA4AAF" w:rsidRDefault="00250F91">
      <w:pPr>
        <w:spacing w:before="240" w:after="40"/>
      </w:pPr>
      <w:r>
        <w:rPr>
          <w:b/>
          <w:color w:val="2B57A6"/>
          <w:sz w:val="26"/>
        </w:rPr>
        <w:t>Zmiany ogólne / systemowe</w:t>
      </w:r>
    </w:p>
    <w:p w14:paraId="7925BA18" w14:textId="77777777" w:rsidR="00BA4AAF" w:rsidRDefault="00250F91">
      <w:pPr>
        <w:spacing w:after="80"/>
      </w:pPr>
      <w:r>
        <w:rPr>
          <w:i/>
          <w:color w:val="666666"/>
          <w:sz w:val="18"/>
        </w:rPr>
        <w:t>Zmiany niezależne od funkcji - logowanie, wydajność, baza danych, bezpieczeństwo.</w:t>
      </w:r>
    </w:p>
    <w:tbl>
      <w:tblPr>
        <w:tblStyle w:val="Tabela-Siatka"/>
        <w:tblW w:w="0" w:type="auto"/>
        <w:tblLook w:val="04A0" w:firstRow="1" w:lastRow="0" w:firstColumn="1" w:lastColumn="0" w:noHBand="0" w:noVBand="1"/>
      </w:tblPr>
      <w:tblGrid>
        <w:gridCol w:w="1948"/>
        <w:gridCol w:w="6908"/>
      </w:tblGrid>
      <w:tr w:rsidR="00BA4AAF" w14:paraId="025809D8" w14:textId="77777777" w:rsidTr="000B5C5B">
        <w:tc>
          <w:tcPr>
            <w:tcW w:w="1948" w:type="dxa"/>
            <w:shd w:val="clear" w:color="auto" w:fill="EEF2F8"/>
          </w:tcPr>
          <w:p w14:paraId="376135F0" w14:textId="77777777" w:rsidR="00BA4AAF" w:rsidRDefault="00250F91">
            <w:r>
              <w:rPr>
                <w:b/>
                <w:color w:val="1F2A44"/>
              </w:rPr>
              <w:t>Typ</w:t>
            </w:r>
          </w:p>
        </w:tc>
        <w:tc>
          <w:tcPr>
            <w:tcW w:w="6908" w:type="dxa"/>
            <w:shd w:val="clear" w:color="auto" w:fill="EEF2F8"/>
          </w:tcPr>
          <w:p w14:paraId="275EFE8C" w14:textId="77777777" w:rsidR="00BA4AAF" w:rsidRDefault="00250F91">
            <w:r>
              <w:rPr>
                <w:b/>
                <w:color w:val="1F2A44"/>
              </w:rPr>
              <w:t>Opis zmiany</w:t>
            </w:r>
          </w:p>
        </w:tc>
      </w:tr>
      <w:tr w:rsidR="00F95910" w14:paraId="36383278" w14:textId="77777777">
        <w:tc>
          <w:tcPr>
            <w:tcW w:w="1948" w:type="dxa"/>
          </w:tcPr>
          <w:p w14:paraId="067E53CD" w14:textId="77777777" w:rsidR="00F95910" w:rsidRDefault="00000000">
            <w:r>
              <w:t>Zmiana</w:t>
            </w:r>
          </w:p>
        </w:tc>
        <w:tc>
          <w:tcPr>
            <w:tcW w:w="6908" w:type="dxa"/>
          </w:tcPr>
          <w:p w14:paraId="37619905" w14:textId="77777777" w:rsidR="00F95910" w:rsidRDefault="00000000">
            <w:r>
              <w:t>(w przygotowaniu)</w:t>
            </w:r>
          </w:p>
        </w:tc>
      </w:tr>
    </w:tbl>
    <w:p w14:paraId="24F4F219" w14:textId="77777777" w:rsidR="00BA4AAF" w:rsidRDefault="00250F91">
      <w:pPr>
        <w:spacing w:before="240" w:after="40"/>
      </w:pPr>
      <w:r>
        <w:rPr>
          <w:b/>
          <w:color w:val="2B57A6"/>
          <w:sz w:val="26"/>
        </w:rPr>
        <w:t>Kalkulator wyceny</w:t>
      </w:r>
    </w:p>
    <w:p w14:paraId="63F86E04" w14:textId="77777777" w:rsidR="00BA4AAF" w:rsidRDefault="00250F91">
      <w:pPr>
        <w:spacing w:after="80"/>
      </w:pPr>
      <w:r>
        <w:rPr>
          <w:i/>
          <w:color w:val="666666"/>
          <w:sz w:val="18"/>
        </w:rPr>
        <w:t>Typy stali, gatunki, dopłaty huty i przetwórcze, marża, logika ceny końcowej.</w:t>
      </w:r>
    </w:p>
    <w:p w14:paraId="4CA16D7D" w14:textId="77777777" w:rsidR="00B607B4" w:rsidRDefault="00000000">
      <w:pPr>
        <w:pStyle w:val="Listapunktowana"/>
      </w:pPr>
      <w:r>
        <w:t>„Nowa oferta” — nowy zielony przycisk po prawej stronie paska nawigacji, rozpoczynający czystą kalkulację (czyści kalkulator, dane klienta i zestawienie). Kliknięcie zakładki „Kalkulator” działa teraz tak samo.</w:t>
      </w:r>
    </w:p>
    <w:tbl>
      <w:tblPr>
        <w:tblStyle w:val="Tabela-Siatka"/>
        <w:tblW w:w="0" w:type="auto"/>
        <w:tblLook w:val="04A0" w:firstRow="1" w:lastRow="0" w:firstColumn="1" w:lastColumn="0" w:noHBand="0" w:noVBand="1"/>
      </w:tblPr>
      <w:tblGrid>
        <w:gridCol w:w="1964"/>
        <w:gridCol w:w="6892"/>
      </w:tblGrid>
      <w:tr w:rsidR="00BA4AAF" w14:paraId="75196D6B" w14:textId="77777777" w:rsidTr="006F108A">
        <w:tc>
          <w:tcPr>
            <w:tcW w:w="1967" w:type="dxa"/>
            <w:shd w:val="clear" w:color="auto" w:fill="EEF2F8"/>
          </w:tcPr>
          <w:p w14:paraId="67F22CAC" w14:textId="77777777" w:rsidR="00BA4AAF" w:rsidRDefault="00250F91">
            <w:r>
              <w:rPr>
                <w:b/>
                <w:color w:val="1F2A44"/>
              </w:rPr>
              <w:lastRenderedPageBreak/>
              <w:t>Typ</w:t>
            </w:r>
          </w:p>
        </w:tc>
        <w:tc>
          <w:tcPr>
            <w:tcW w:w="6889" w:type="dxa"/>
            <w:shd w:val="clear" w:color="auto" w:fill="EEF2F8"/>
          </w:tcPr>
          <w:p w14:paraId="50A8C1A3" w14:textId="77777777" w:rsidR="00BA4AAF" w:rsidRDefault="00250F91">
            <w:r>
              <w:rPr>
                <w:b/>
                <w:color w:val="1F2A44"/>
              </w:rPr>
              <w:t>Opis zmiany</w:t>
            </w:r>
          </w:p>
        </w:tc>
      </w:tr>
      <w:tr w:rsidR="00F95910" w14:paraId="31A7292B" w14:textId="77777777">
        <w:tc>
          <w:tcPr>
            <w:tcW w:w="1948" w:type="dxa"/>
          </w:tcPr>
          <w:p w14:paraId="6B878E97" w14:textId="77777777" w:rsidR="00F95910" w:rsidRDefault="00000000">
            <w:r>
              <w:t>Zmiana</w:t>
            </w:r>
          </w:p>
        </w:tc>
        <w:tc>
          <w:tcPr>
            <w:tcW w:w="6908" w:type="dxa"/>
          </w:tcPr>
          <w:p w14:paraId="4A762646" w14:textId="77777777" w:rsidR="00F95910" w:rsidRDefault="00000000">
            <w:r>
              <w:t>Transport liczony automatycznie z trasy dostawy. Handlowiec rozwija sekcję „Trasa i transport” w podsumowaniu, wpisuje adres dostawy (podpowiadany z kartoteki klienta) i otrzymuje rzeczywistą odległość drogową z magazynu. Koszt wyliczany jest według cennika przewoźnika: do 100 km – 1344 zł, 101–223 km – 1680 zł, 224–350 km – 7,50 zł/km, powyżej 350 km – 6,50 zł/km. Liczba kursów to tonaż całej oferty podzielony przez ładowność ciężarówki (21 t) i zaokrąglony w górę – nawet 1 tona oznacza opłatę za cały kurs. Koszt dzielony jest przez tonaż oferty i doliczany do ceny jako €/t, a dodanie kolejnej pozycji automatycznie przelicza transport we wszystkich pozycjach zestawienia. Elementy 13,6–15,1 m to dopłata 250 zł do każdego kursu; elementy dłuższe niż 15,1 m lub szersze niż 2,4 m wymagają wyceny indywidualnej u przewoźnika i wtedy kwotę wpisuje się ręcznie. Odległość można w każdej chwili nadpisać ręcznie, więc awaria serwisu map nigdy nie blokuje wyceny.</w:t>
            </w:r>
          </w:p>
        </w:tc>
      </w:tr>
      <w:tr w:rsidR="00F95910" w14:paraId="02EE2892" w14:textId="77777777">
        <w:tc>
          <w:tcPr>
            <w:tcW w:w="1948" w:type="dxa"/>
          </w:tcPr>
          <w:p w14:paraId="74E31303" w14:textId="77777777" w:rsidR="00F95910" w:rsidRDefault="00000000">
            <w:r>
              <w:t>Zmiana</w:t>
            </w:r>
          </w:p>
        </w:tc>
        <w:tc>
          <w:tcPr>
            <w:tcW w:w="6908" w:type="dxa"/>
          </w:tcPr>
          <w:p w14:paraId="465D435D" w14:textId="77777777" w:rsidR="00F95910" w:rsidRDefault="00000000">
            <w:r>
              <w:t>Cennik transportowy i parametry przewozu w panelu administratora. Administrator ustawia adres nadania, ładowność ciężarówki i dopłatę za elementy ponadwymiarowe oraz edytuje pasma cennika – każde pasmo ma ryczałt albo stawkę za kilometr. Stawki podaje się w złotych, dokładnie tak, jak kwotuje je przewoźnik; przeliczenie na euro idzie po kursie z ustawień i jest zamrażane w zapisanej ofercie, więc późniejsza zmiana cennika nie rusza ofert już wycenionych.</w:t>
            </w:r>
          </w:p>
        </w:tc>
      </w:tr>
      <w:tr w:rsidR="00F95910" w14:paraId="02EE2892" w14:textId="77777777">
        <w:tc>
          <w:tcPr>
            <w:tcW w:w="1948" w:type="dxa"/>
          </w:tcPr>
          <w:p w14:paraId="74E31303" w14:textId="77777777" w:rsidR="00F95910" w:rsidRDefault="00000000">
            <w:r>
              <w:t>Zmiana</w:t>
            </w:r>
          </w:p>
        </w:tc>
        <w:tc>
          <w:tcPr>
            <w:tcW w:w="6908" w:type="dxa"/>
          </w:tcPr>
          <w:p w14:paraId="465D435D" w14:textId="77777777" w:rsidR="00F95910" w:rsidRDefault="00000000">
            <w:r>
              <w:t>Blacha łezkowa (Łezka) – dopłata „Dopłata Łezka” zależy teraz od szerokości taśmy: do 1,5 m włącznie 30 €/t, powyżej 1,5 m (do 2,05 m wg tabeli klienta) 45 €/t; wcześniej była stała 30 €/t niezależnie od wymiaru. Dodano też pełną tabelę gatunków dla Łezki (S235, S275 i S355 w odmianach JR/J2 oraz AR/N, a także S355MC i S500MC – każdy również w wariancie „-CAT_A”), na podstawie danych przekazanych przez klienta; wcześniej ten typ nie miał selektora gatunku, a dopłata gatunkowa wynosiła 0. Po przejściu na zakładkę „Łezka” podpowiadany jest domyślny gatunek S235JR+N.</w:t>
            </w:r>
          </w:p>
        </w:tc>
      </w:tr>
    </w:tbl>
    <w:p w14:paraId="05971E18" w14:textId="77777777" w:rsidR="00BA4AAF" w:rsidRDefault="00250F91">
      <w:pPr>
        <w:spacing w:before="240" w:after="40"/>
      </w:pPr>
      <w:r>
        <w:rPr>
          <w:b/>
          <w:color w:val="2B57A6"/>
          <w:sz w:val="26"/>
        </w:rPr>
        <w:t>Zarządzanie ofertami</w:t>
      </w:r>
    </w:p>
    <w:p w14:paraId="116A22EA" w14:textId="77777777" w:rsidR="00BA4AAF" w:rsidRDefault="00250F91">
      <w:pPr>
        <w:spacing w:after="80"/>
      </w:pPr>
      <w:r>
        <w:rPr>
          <w:i/>
          <w:color w:val="666666"/>
          <w:sz w:val="18"/>
        </w:rPr>
        <w:t>Tworzenie, zapis, lista, edycja, duplikowanie i usuwanie ofert.</w:t>
      </w:r>
    </w:p>
    <w:p w14:paraId="2FCA2B37" w14:textId="77777777" w:rsidR="00B607B4" w:rsidRDefault="00000000">
      <w:pPr>
        <w:pStyle w:val="Listapunktowana"/>
      </w:pPr>
      <w:r>
        <w:t>Ochrona przed utratą niezapisanych zmian — przy rozpoczęciu nowej oferty, otwarciu innej oferty, przejściu na inną zakładkę oraz zamknięciu / odświeżeniu karty przeglądarki pojawia się ostrzeżenie z wyborem „Zapisz i kontynuuj” / „Odrzuć zmiany” / „Anuluj”. Okno ostrzeżenia jest tłumaczone (PL / EN / CS / DE).</w:t>
      </w:r>
    </w:p>
    <w:tbl>
      <w:tblPr>
        <w:tblStyle w:val="Tabela-Siatka"/>
        <w:tblW w:w="0" w:type="auto"/>
        <w:tblLook w:val="04A0" w:firstRow="1" w:lastRow="0" w:firstColumn="1" w:lastColumn="0" w:noHBand="0" w:noVBand="1"/>
      </w:tblPr>
      <w:tblGrid>
        <w:gridCol w:w="1953"/>
        <w:gridCol w:w="6903"/>
      </w:tblGrid>
      <w:tr w:rsidR="00BA4AAF" w14:paraId="0B3139BF" w14:textId="77777777">
        <w:tc>
          <w:tcPr>
            <w:tcW w:w="1984" w:type="dxa"/>
            <w:shd w:val="clear" w:color="auto" w:fill="EEF2F8"/>
          </w:tcPr>
          <w:p w14:paraId="79E89AC1" w14:textId="77777777" w:rsidR="00BA4AAF" w:rsidRDefault="00250F91">
            <w:r>
              <w:rPr>
                <w:b/>
                <w:color w:val="1F2A44"/>
              </w:rPr>
              <w:t>Typ</w:t>
            </w:r>
          </w:p>
        </w:tc>
        <w:tc>
          <w:tcPr>
            <w:tcW w:w="7087" w:type="dxa"/>
            <w:shd w:val="clear" w:color="auto" w:fill="EEF2F8"/>
          </w:tcPr>
          <w:p w14:paraId="6B85E864" w14:textId="77777777" w:rsidR="00BA4AAF" w:rsidRDefault="00250F91">
            <w:r>
              <w:rPr>
                <w:b/>
                <w:color w:val="1F2A44"/>
              </w:rPr>
              <w:t>Opis zmiany</w:t>
            </w:r>
          </w:p>
        </w:tc>
      </w:tr>
      <w:tr w:rsidR="00F95910" w14:paraId="7B1F1F18" w14:textId="77777777">
        <w:tc>
          <w:tcPr>
            <w:tcW w:w="1948" w:type="dxa"/>
          </w:tcPr>
          <w:p w14:paraId="7A80F9C6" w14:textId="77777777" w:rsidR="00F95910" w:rsidRDefault="00000000">
            <w:r>
              <w:t>Poprawka</w:t>
            </w:r>
          </w:p>
        </w:tc>
        <w:tc>
          <w:tcPr>
            <w:tcW w:w="6908" w:type="dxa"/>
          </w:tcPr>
          <w:p w14:paraId="40FB1345" w14:textId="77777777" w:rsidR="00F95910" w:rsidRDefault="00000000">
            <w:r>
              <w:t>Zapis decyzji klienta (wygrana / przegrana / cofnięcie) na ofercie wysłanej zwracał błąd „nie udało się zapisać decyzji klienta”. Przyczyną był konflikt typów parametru w zapytaniu SQL - kolumna VARCHAR była w tym samym zapytaniu porównywana z literałem tekstowym, więc PostgreSQL odrzucał całą operację UPDATE (kod 42P08). Zapytanie rzutuje teraz ten parametr jednoznacznie na typ tekstowy. Panel „Analiza” oraz oś „decyzja klienta” należą do wersji 1.6, ale w praktyce zapis decyzji nie działał u żadnej roli aż do tej poprawki.</w:t>
            </w:r>
          </w:p>
        </w:tc>
      </w:tr>
      <w:tr w:rsidR="00F95910" w14:paraId="5951C669" w14:textId="77777777">
        <w:tc>
          <w:tcPr>
            <w:tcW w:w="1948" w:type="dxa"/>
          </w:tcPr>
          <w:p w14:paraId="73F8E489" w14:textId="77777777" w:rsidR="00F95910" w:rsidRDefault="00000000">
            <w:r>
              <w:t>Zmiana</w:t>
            </w:r>
          </w:p>
        </w:tc>
        <w:tc>
          <w:tcPr>
            <w:tcW w:w="6908" w:type="dxa"/>
          </w:tcPr>
          <w:p w14:paraId="2E644FAF" w14:textId="77777777" w:rsidR="00F95910" w:rsidRDefault="00000000">
            <w:r>
              <w:t xml:space="preserve">Nie można wysłać oferty do klienta bez danych firmy klienta (nazwa firmy oraz NIP). Ofertę nadal można utworzyć, zapisać, edytować, zduplikować i wyeksportować do PDF bez tych danych - blokowana jest wyłącznie wysyłka. Przycisk „Wyślij do klienta” jest wtedy nieaktywny, a na ofercie widać ostrzeżenie „Brak danych klienta”. Sprawdzenie jest również po stronie serwera (odpowiedź 422), więc obejmuje wszystkie trzy widoki </w:t>
            </w:r>
            <w:r>
              <w:lastRenderedPageBreak/>
              <w:t>wysyłki - Moje oferty, Panel seniora i Panel administratora.</w:t>
            </w:r>
          </w:p>
        </w:tc>
      </w:tr>
      <w:tr w:rsidR="00F95910" w14:paraId="7926EBAB" w14:textId="77777777">
        <w:tc>
          <w:tcPr>
            <w:tcW w:w="1948" w:type="dxa"/>
          </w:tcPr>
          <w:p w14:paraId="3135A22E" w14:textId="77777777" w:rsidR="00F95910" w:rsidRDefault="00000000">
            <w:r>
              <w:lastRenderedPageBreak/>
              <w:t>Zmiana</w:t>
            </w:r>
          </w:p>
        </w:tc>
        <w:tc>
          <w:tcPr>
            <w:tcW w:w="6908" w:type="dxa"/>
          </w:tcPr>
          <w:p w14:paraId="719B9819" w14:textId="77777777" w:rsidR="00F95910" w:rsidRDefault="00000000">
            <w:r>
              <w:t>Senior może zbudować zespół z juniorów. W panelu seniora oraz w panelu administratora (przy każdym seniorze) doszła sekcja „Mój zespół” do dodawania i usuwania juniorów. W panelu „Analiza” senior widzi teraz dane własne oraz wszystkich członków zespołu i może zawęzić widok do siebie albo do wybranego juniora - filtr, podział serii i zestawienie „wg handlowca” włączają się, gdy zespół jest niepusty. Zakres jest pilnowany po stronie serwera, więc ręczna zmiana adresu nie wychodzi poza zespół. Junior bez zmian - widzi wyłącznie własne dane. Dodano tabelę „team_members” (migracja 019); przynależność jest wiele-do-wielu, więc ten sam junior może być w kilku zespołach, a każdy senior liczy jego oferty u siebie raz. Zestawienia ogólnofirmowe administratora nie korzystają z zespołów, więc nic nie jest liczone podwójnie.</w:t>
            </w:r>
          </w:p>
        </w:tc>
      </w:tr>
      <w:tr w:rsidR="00F95910" w14:paraId="631A6877" w14:textId="77777777">
        <w:tc>
          <w:tcPr>
            <w:tcW w:w="1948" w:type="dxa"/>
          </w:tcPr>
          <w:p w14:paraId="652BF13C" w14:textId="77777777" w:rsidR="00F95910" w:rsidRDefault="00000000">
            <w:r>
              <w:t>Poprawka</w:t>
            </w:r>
          </w:p>
        </w:tc>
        <w:tc>
          <w:tcPr>
            <w:tcW w:w="6908" w:type="dxa"/>
          </w:tcPr>
          <w:p w14:paraId="61D27D36" w14:textId="77777777" w:rsidR="00F95910" w:rsidRDefault="00000000">
            <w:r>
              <w:t>Eksport do Excela otwiera się z kolumnami dopasowanymi do zawartości. Wcześniej każda kolumna miała domyślną szerokość około ośmiu znaków, więc użytkownik musiał ręcznie rozciągać każdą z nich, żeby odczytać gatunek, wymiary czy pozycję. Szerokość jest teraz liczona z najdłuższej wartości w kolumnie (razem z nagłówkiem) i przycinana do zakresu 8-60 znaków, żeby długi komentarz nie rozjechał arkusza. Dotyczy wszystkich trzech eksportów: zestawienia oferty w formacie KTS/GPAO (Moje oferty, Panel seniora, Panel administratora, kalkulator), panelu „Analiza” oraz historii cen bazowych PGL.</w:t>
            </w:r>
          </w:p>
        </w:tc>
      </w:tr>
      <w:tr w:rsidR="00F95910" w14:paraId="631A6877" w14:textId="77777777">
        <w:tc>
          <w:tcPr>
            <w:tcW w:w="1948" w:type="dxa"/>
          </w:tcPr>
          <w:p w14:paraId="652BF13C" w14:textId="77777777" w:rsidR="00F95910" w:rsidRDefault="00000000">
            <w:r>
              <w:t>Poprawka</w:t>
            </w:r>
          </w:p>
        </w:tc>
        <w:tc>
          <w:tcPr>
            <w:tcW w:w="6908" w:type="dxa"/>
          </w:tcPr>
          <w:p w14:paraId="61D27D36" w14:textId="77777777" w:rsidR="00F95910" w:rsidRDefault="00000000">
            <w:r>
              <w:t>Po kliknięciu „Nowa oferta” lub zakładki „Kalkulator” podczas edycji zapisanej oferty pojawiało się ostrzeżenie o niezapisanych zmianach, mimo że nowa oferta była pusta i nic w niej nie zmieniono. Kalkulator porównywał stan z nieaktualnym punktem odniesienia sprzed wyczyszczenia formularza. Punkt odniesienia jest teraz odświeżany od razu po rozpoczęciu nowej oferty, więc ostrzeżenie pojawia się dopiero, gdy handlowiec faktycznie coś wprowadzi.</w:t>
            </w:r>
          </w:p>
        </w:tc>
      </w:tr>
    </w:tbl>
    <w:p w14:paraId="072693FF" w14:textId="77777777" w:rsidR="00BA4AAF" w:rsidRDefault="00250F91">
      <w:pPr>
        <w:spacing w:before="240" w:after="40"/>
      </w:pPr>
      <w:r>
        <w:rPr>
          <w:b/>
          <w:color w:val="2B57A6"/>
          <w:sz w:val="26"/>
        </w:rPr>
        <w:t>Eksport PDF</w:t>
      </w:r>
    </w:p>
    <w:p w14:paraId="6E084D4A" w14:textId="77777777" w:rsidR="00BA4AAF" w:rsidRDefault="00250F91">
      <w:pPr>
        <w:spacing w:after="80"/>
      </w:pPr>
      <w:r>
        <w:rPr>
          <w:i/>
          <w:color w:val="666666"/>
          <w:sz w:val="18"/>
        </w:rPr>
        <w:t>Wygląd i zawartość oferty PDF, dane klienta.</w:t>
      </w:r>
    </w:p>
    <w:tbl>
      <w:tblPr>
        <w:tblStyle w:val="Tabela-Siatka"/>
        <w:tblW w:w="0" w:type="auto"/>
        <w:tblLook w:val="04A0" w:firstRow="1" w:lastRow="0" w:firstColumn="1" w:lastColumn="0" w:noHBand="0" w:noVBand="1"/>
      </w:tblPr>
      <w:tblGrid>
        <w:gridCol w:w="1948"/>
        <w:gridCol w:w="6908"/>
      </w:tblGrid>
      <w:tr w:rsidR="00BA4AAF" w14:paraId="0A6B5EB3" w14:textId="77777777">
        <w:tc>
          <w:tcPr>
            <w:tcW w:w="1984" w:type="dxa"/>
            <w:shd w:val="clear" w:color="auto" w:fill="EEF2F8"/>
          </w:tcPr>
          <w:p w14:paraId="4F89FDCD" w14:textId="77777777" w:rsidR="00BA4AAF" w:rsidRDefault="00250F91">
            <w:r>
              <w:rPr>
                <w:b/>
                <w:color w:val="1F2A44"/>
              </w:rPr>
              <w:t>Typ</w:t>
            </w:r>
          </w:p>
        </w:tc>
        <w:tc>
          <w:tcPr>
            <w:tcW w:w="7087" w:type="dxa"/>
            <w:shd w:val="clear" w:color="auto" w:fill="EEF2F8"/>
          </w:tcPr>
          <w:p w14:paraId="7BDA8D4B" w14:textId="77777777" w:rsidR="00BA4AAF" w:rsidRDefault="00250F91">
            <w:r>
              <w:rPr>
                <w:b/>
                <w:color w:val="1F2A44"/>
              </w:rPr>
              <w:t>Opis zmiany</w:t>
            </w:r>
          </w:p>
        </w:tc>
      </w:tr>
      <w:tr w:rsidR="00F95910" w14:paraId="4AA6E75A" w14:textId="77777777">
        <w:tc>
          <w:tcPr>
            <w:tcW w:w="1948" w:type="dxa"/>
          </w:tcPr>
          <w:p w14:paraId="541CB498" w14:textId="77777777" w:rsidR="00F95910" w:rsidRDefault="00000000">
            <w:r>
              <w:t>Zmiana</w:t>
            </w:r>
          </w:p>
        </w:tc>
        <w:tc>
          <w:tcPr>
            <w:tcW w:w="6908" w:type="dxa"/>
          </w:tcPr>
          <w:p w14:paraId="6C491491" w14:textId="77777777" w:rsidR="00F95910" w:rsidRDefault="00000000">
            <w:r>
              <w:t>(w przygotowaniu)</w:t>
            </w:r>
          </w:p>
        </w:tc>
      </w:tr>
    </w:tbl>
    <w:p w14:paraId="00063819" w14:textId="77777777" w:rsidR="00BA4AAF" w:rsidRDefault="00250F91">
      <w:pPr>
        <w:spacing w:before="240" w:after="40"/>
      </w:pPr>
      <w:r>
        <w:rPr>
          <w:b/>
          <w:color w:val="2B57A6"/>
          <w:sz w:val="26"/>
        </w:rPr>
        <w:t>Interfejs i języki</w:t>
      </w:r>
    </w:p>
    <w:p w14:paraId="09A2C6BD" w14:textId="77777777" w:rsidR="00BA4AAF" w:rsidRDefault="00250F91">
      <w:pPr>
        <w:spacing w:after="80"/>
      </w:pPr>
      <w:r>
        <w:rPr>
          <w:i/>
          <w:color w:val="666666"/>
          <w:sz w:val="18"/>
        </w:rPr>
        <w:t>Wygląd aplikacji, użyteczność, dwujęzyczność (PL / EN).</w:t>
      </w:r>
    </w:p>
    <w:tbl>
      <w:tblPr>
        <w:tblStyle w:val="Tabela-Siatka"/>
        <w:tblW w:w="0" w:type="auto"/>
        <w:tblLook w:val="04A0" w:firstRow="1" w:lastRow="0" w:firstColumn="1" w:lastColumn="0" w:noHBand="0" w:noVBand="1"/>
      </w:tblPr>
      <w:tblGrid>
        <w:gridCol w:w="1963"/>
        <w:gridCol w:w="6893"/>
      </w:tblGrid>
      <w:tr w:rsidR="00BA4AAF" w14:paraId="364FCE77" w14:textId="77777777" w:rsidTr="00892060">
        <w:tc>
          <w:tcPr>
            <w:tcW w:w="1963" w:type="dxa"/>
            <w:shd w:val="clear" w:color="auto" w:fill="EEF2F8"/>
          </w:tcPr>
          <w:p w14:paraId="44AF0838" w14:textId="77777777" w:rsidR="00BA4AAF" w:rsidRDefault="00250F91">
            <w:r>
              <w:rPr>
                <w:b/>
                <w:color w:val="1F2A44"/>
              </w:rPr>
              <w:t>Typ</w:t>
            </w:r>
          </w:p>
        </w:tc>
        <w:tc>
          <w:tcPr>
            <w:tcW w:w="6893" w:type="dxa"/>
            <w:shd w:val="clear" w:color="auto" w:fill="EEF2F8"/>
          </w:tcPr>
          <w:p w14:paraId="09DB1F63" w14:textId="77777777" w:rsidR="00BA4AAF" w:rsidRDefault="00250F91">
            <w:r>
              <w:rPr>
                <w:b/>
                <w:color w:val="1F2A44"/>
              </w:rPr>
              <w:t>Opis zmiany</w:t>
            </w:r>
          </w:p>
        </w:tc>
      </w:tr>
      <w:tr w:rsidR="00F95910" w14:paraId="63A3F748" w14:textId="77777777">
        <w:tc>
          <w:tcPr>
            <w:tcW w:w="1963" w:type="dxa"/>
          </w:tcPr>
          <w:p w14:paraId="2EB0793B" w14:textId="77777777" w:rsidR="00F95910" w:rsidRDefault="00000000">
            <w:r>
              <w:t>Zmiana</w:t>
            </w:r>
          </w:p>
        </w:tc>
        <w:tc>
          <w:tcPr>
            <w:tcW w:w="6893" w:type="dxa"/>
          </w:tcPr>
          <w:p w14:paraId="4327A9A5" w14:textId="77777777" w:rsidR="00F95910" w:rsidRDefault="00000000">
            <w:r>
              <w:t>Tryb wysokiego kontrastu w nowoczesnych kolorach. Wysoki kontrast – zarówno jasny, jak i ciemny – korzysta teraz z tej samej palety barw co zwykły motyw; handlowcy zgłaszali, że wcześniejsza wersja czerń-na-bieli wygląda topornie. „Wysoki kontrast” oznacza od teraz większą i grubszą czcionkę, powiększenie widoku o 18% oraz grubsze obramowania pól, kart i wierszy podsumowania, przy zachowaniu czytelnych kolorów interfejsu. Przełącznik trybu w pasku nawigacji dostał spójny wygląd (akcent zamiast pełnej czerni). Zmiana obejmuje kalkulator, listę ofert, panel Analiza, panel seniora oraz ustawienia administratora.</w:t>
            </w:r>
          </w:p>
        </w:tc>
      </w:tr>
    </w:tbl>
    <w:p>
      <w:pPr>
        <w:pStyle w:val="Listapunktowana"/>
      </w:pPr>
      <w:r>
        <w:t>Panel „Handlowcy” (panel administratora) – rozszerzony o metryki skuteczności każdego handlowca. Na liście dwie nowe kolumny: skuteczność % (z ofert wygranych / przegranych, bez wpływu ofert bez decyzji) oraz łączny tonaż ofertowany. Pod każdym wierszem rozwijana sekcja „Wyniki” z pełnym rozbiciem: data utworzenia konta, data pierwszej i ostatniej oferty, liczba ofert wygranych / przegranych / bez decyzji, tonaż wygrany / przegrany / bez decyzji oraz średnia marża ważona tonażem. Wszystkie liczby liczone z najnowszej wersji każdej oferty (edycje nie są liczone podwójnie); dotychczasowa kolumna „Liczba ofert” pozostaje bez zmian.</w:t>
      </w:r>
    </w:p>
    <w:p w14:paraId="245264EB" w14:textId="77777777" w:rsidR="00BA4AAF" w:rsidRDefault="00250F91">
      <w:pPr>
        <w:spacing w:before="320" w:after="120"/>
      </w:pPr>
      <w:r>
        <w:rPr>
          <w:b/>
          <w:color w:val="1F2A44"/>
          <w:sz w:val="26"/>
        </w:rPr>
        <w:t>Znane problemy / prace w toku</w:t>
      </w:r>
    </w:p>
    <w:p w14:paraId="07F64418" w14:textId="77777777" w:rsidR="00350740" w:rsidRPr="00C2208F" w:rsidRDefault="006F108A">
      <w:pPr>
        <w:pStyle w:val="Listapunktowana"/>
      </w:pPr>
      <w:r>
        <w:t>Import ofert z pliku Excel (format KTS/GPAO) - przeanalizowany, budowa świadomie odłożona na później</w:t>
      </w:r>
    </w:p>
    <w:p w14:paraId="0D9F1374" w14:textId="77777777" w:rsidR="00350740" w:rsidRPr="00C2208F" w:rsidRDefault="00350740">
      <w:pPr>
        <w:pStyle w:val="Listapunktowana"/>
      </w:pPr>
      <w:r>
        <w:t>Hasła kont testowych o długości 4 znaków (celowo obniżone na czas testów) - docelowo wymaga blokady prób logowania zamiast podnoszenia wymogu długości</w:t>
      </w:r>
    </w:p>
    <w:p w14:paraId="2ABA0E9A" w14:textId="77777777" w:rsidR="00350740" w:rsidRPr="00C2208F" w:rsidRDefault="00350740">
      <w:pPr>
        <w:pStyle w:val="Listapunktowana"/>
      </w:pPr>
      <w:r>
        <w:t>Uśpiony Prisma/NextAuth oraz zdublowane pliki danych kalkulatora (calc-data.ts / calculatorData.ts) do uporządkowania</w:t>
      </w:r>
    </w:p>
    <w:p w14:paraId="3ECEEC08" w14:textId="77777777" w:rsidR="008C3B75" w:rsidRDefault="006F108A" w:rsidP="008C3B75">
      <w:pPr>
        <w:pStyle w:val="Listapunktowana"/>
      </w:pPr>
      <w:r>
        <w:t>Wysyłka oferty do klienta to na razie wyłącznie zmiana statusu na „wysłana” - rzeczywista dostawa e-mailem / PDF do klienta jeszcze niezaimplementowana (świadomie odłożona).</w:t>
      </w:r>
    </w:p>
    <w:p w14:paraId="2341D0B1" w14:textId="77777777" w:rsidR="008C3B75" w:rsidRDefault="006F108A" w:rsidP="008C3B75">
      <w:pPr>
        <w:pStyle w:val="Listapunktowana"/>
      </w:pPr>
      <w:r>
        <w:t xml:space="preserve">Panel „Analiza” wraz z migracją „decyzja klienta” (018) jest już na środowisku produkcyjnym. Po wdrożeniu wykryto i naprawiono błąd zapisu decyzji klienta - patrz tabela „Zarządzanie </w:t>
      </w:r>
      <w:r>
        <w:lastRenderedPageBreak/>
        <w:t>ofertami” (przed poprawką funkcja nie zapisywała ani wygranej, ani przegranej). Migracje 001-017 są na produkcji od wdrożenia wersji 1.5 (17.08.2026).</w:t>
      </w:r>
    </w:p>
    <w:p w14:paraId="2EEFCB5A" w14:textId="77777777" w:rsidR="008C3B75" w:rsidRDefault="006F108A" w:rsidP="008C3B75">
      <w:pPr>
        <w:pStyle w:val="Listapunktowana"/>
      </w:pPr>
      <w:r>
        <w:t>Zespoły seniora i zakres panelu „Analiza” dla seniora (migracja 019, tabela „team_members”) - zbudowane i przetestowane lokalnie, oczekują na uruchomienie migracji i wdrożenie na środowisko produkcyjne.</w:t>
      </w:r>
    </w:p>
    <w:p w14:paraId="40590640" w14:textId="77777777" w:rsidR="008C3B75" w:rsidRDefault="006F108A" w:rsidP="008C3B75">
      <w:pPr>
        <w:pStyle w:val="Listapunktowana"/>
      </w:pPr>
      <w:r>
        <w:t>Migracja cennika transportowego (020, tabele „transport_tariff_bands” i „route_cache”) nie została jeszcze uruchomiona na środowisku produkcyjnym – wymagana przed korzystaniem z automatycznego liczenia transportu. Do czasu jej uruchomienia aplikacja działa na cenniku domyślnym. Opcjonalny klucz Geoapify (dokładniejsze trasy dla TIR-a) nie jest jeszcze ustawiony – bez niego odległości liczone są na darmowych serwerach OpenStreetMap.</w:t>
      </w:r>
    </w:p>
    <w:p w14:paraId="325194D3" w14:textId="77777777" w:rsidR="00BA4AAF" w:rsidRDefault="00250F91">
      <w:pPr>
        <w:spacing w:before="200" w:after="120"/>
      </w:pPr>
      <w:r>
        <w:rPr>
          <w:b/>
          <w:color w:val="1F2A44"/>
          <w:sz w:val="26"/>
        </w:rPr>
        <w:t>Plany na kolejny tydzień</w:t>
      </w:r>
    </w:p>
    <w:p w14:paraId="7EC738BE" w14:textId="77777777" w:rsidR="00A14329" w:rsidRDefault="00250F91">
      <w:pPr>
        <w:pStyle w:val="Listapunktowana"/>
      </w:pPr>
      <w:r>
        <w:t>Testy ręczne end-to-end wszystkich trzech ról i pełnego obiegu oferty na środowisku hostingowym</w:t>
      </w:r>
    </w:p>
    <w:p w14:paraId="3BD8C5EA" w14:textId="77777777" w:rsidR="008C3B75" w:rsidRDefault="008C3B75" w:rsidP="008C3B75">
      <w:pPr>
        <w:pStyle w:val="Listapunktowana"/>
      </w:pPr>
      <w:r>
        <w:t>Dodanie tabelki z terminem płatności</w:t>
      </w:r>
    </w:p>
    <w:p w14:paraId="062D6346" w14:textId="77777777" w:rsidR="008C3B75" w:rsidRDefault="008C3B75" w:rsidP="008C3B75">
      <w:pPr>
        <w:pStyle w:val="Listapunktowana"/>
      </w:pPr>
      <w:r>
        <w:t>Mechanizm faktycznej wysyłki oferty do klienta e-mailem / PDF (obecnie tylko zmiana statusu na „wysłana”)</w:t>
      </w:r>
    </w:p>
    <w:p w14:paraId="16462FED" w14:textId="77777777" w:rsidR="008C3B75" w:rsidRDefault="008C3B75" w:rsidP="008C3B75">
      <w:pPr>
        <w:pStyle w:val="Listapunktowana"/>
      </w:pPr>
      <w:r>
        <w:t>Ręczne testy panelu Analiza i osi „decyzja klienta” (wygrana / przegrana) na środowisku hostingowym: zakres danych per rola, poprawność KPI i wykresów, zapis i cofnięcie decyzji na ofercie wysłanej.</w:t>
      </w:r>
    </w:p>
    <w:p w14:paraId="1DA9531E" w14:textId="77777777" w:rsidR="008C3B75" w:rsidRDefault="008C3B75" w:rsidP="008C3B75">
      <w:pPr>
        <w:pStyle w:val="Listapunktowana"/>
      </w:pPr>
      <w:r>
        <w:t>Ręczne testy sekcji „Trasa i transport” na środowisku hostingowym: adresy z kartoteki klienta, przekroczenie ładowności (dwa kursy), elementy ponadwymiarowe, tryb ręczny oraz zachowanie przy niedostępnym serwisie map.</w:t>
      </w:r>
    </w:p>
    <w:p w14:paraId="03E66C56" w14:textId="77777777" w:rsidR="00BA4AAF" w:rsidRDefault="00BA4AAF">
      <w:pPr>
        <w:pBdr>
          <w:bottom w:val="single" w:sz="12" w:space="4" w:color="2B57A6"/>
        </w:pBdr>
        <w:spacing w:before="400"/>
      </w:pPr>
    </w:p>
    <w:tbl>
      <w:tblPr>
        <w:tblW w:w="0" w:type="auto"/>
        <w:tblLook w:val="04A0" w:firstRow="1" w:lastRow="0" w:firstColumn="1" w:lastColumn="0" w:noHBand="0" w:noVBand="1"/>
      </w:tblPr>
      <w:tblGrid>
        <w:gridCol w:w="4320"/>
        <w:gridCol w:w="4320"/>
      </w:tblGrid>
      <w:tr w:rsidR="00BA4AAF" w14:paraId="4C0B3DC6" w14:textId="77777777">
        <w:tc>
          <w:tcPr>
            <w:tcW w:w="4320" w:type="dxa"/>
          </w:tcPr>
          <w:p w14:paraId="39D6C8D4" w14:textId="77777777" w:rsidR="00BA4AAF" w:rsidRDefault="00250F91">
            <w:r>
              <w:rPr>
                <w:color w:val="1F2A44"/>
              </w:rPr>
              <w:t>Sporządził:  Mateusz Mazur</w:t>
            </w:r>
          </w:p>
        </w:tc>
        <w:tc>
          <w:tcPr>
            <w:tcW w:w="4320" w:type="dxa"/>
          </w:tcPr>
          <w:p w14:paraId="7FE33F95" w14:textId="77777777" w:rsidR="00BA4AAF" w:rsidRDefault="00250F91">
            <w:pPr>
              <w:jc w:val="right"/>
            </w:pPr>
            <w:r>
              <w:rPr>
                <w:color w:val="666666"/>
              </w:rPr>
              <w:t>Zatwierdził:  ______________________</w:t>
            </w:r>
          </w:p>
        </w:tc>
      </w:tr>
    </w:tbl>
    <w:p w14:paraId="664DBE80" w14:textId="77777777" w:rsidR="00F369F9" w:rsidRDefault="00F369F9"/>
    <w:sectPr w:rsidR="00F369F9"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A70420" w14:textId="77777777" w:rsidR="008E56CA" w:rsidRDefault="008E56CA">
      <w:pPr>
        <w:spacing w:after="0" w:line="240" w:lineRule="auto"/>
      </w:pPr>
      <w:r>
        <w:separator/>
      </w:r>
    </w:p>
  </w:endnote>
  <w:endnote w:type="continuationSeparator" w:id="0">
    <w:p w14:paraId="67F68917" w14:textId="77777777" w:rsidR="008E56CA" w:rsidRDefault="008E56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12DA6" w14:textId="77777777" w:rsidR="00BA4AAF" w:rsidRDefault="00250F91">
    <w:pPr>
      <w:pStyle w:val="Stopka"/>
      <w:jc w:val="center"/>
    </w:pPr>
    <w:proofErr w:type="spellStart"/>
    <w:r>
      <w:rPr>
        <w:color w:val="666666"/>
        <w:sz w:val="16"/>
      </w:rPr>
      <w:t>AMSteel</w:t>
    </w:r>
    <w:proofErr w:type="spellEnd"/>
    <w:r>
      <w:rPr>
        <w:color w:val="666666"/>
        <w:sz w:val="16"/>
      </w:rPr>
      <w:t xml:space="preserve"> Quote - </w:t>
    </w:r>
    <w:proofErr w:type="spellStart"/>
    <w:r>
      <w:rPr>
        <w:color w:val="666666"/>
        <w:sz w:val="16"/>
      </w:rPr>
      <w:t>Raport</w:t>
    </w:r>
    <w:proofErr w:type="spellEnd"/>
    <w:r>
      <w:rPr>
        <w:color w:val="666666"/>
        <w:sz w:val="16"/>
      </w:rPr>
      <w:t xml:space="preserve"> </w:t>
    </w:r>
    <w:proofErr w:type="spellStart"/>
    <w:proofErr w:type="gramStart"/>
    <w:r>
      <w:rPr>
        <w:color w:val="666666"/>
        <w:sz w:val="16"/>
      </w:rPr>
      <w:t>wersji</w:t>
    </w:r>
    <w:proofErr w:type="spellEnd"/>
    <w:r>
      <w:rPr>
        <w:color w:val="666666"/>
        <w:sz w:val="16"/>
      </w:rPr>
      <w:t xml:space="preserve">  |</w:t>
    </w:r>
    <w:proofErr w:type="gramEnd"/>
    <w:r>
      <w:rPr>
        <w:color w:val="666666"/>
        <w:sz w:val="16"/>
      </w:rPr>
      <w:t xml:space="preserve">  Mateusz </w:t>
    </w:r>
    <w:proofErr w:type="gramStart"/>
    <w:r>
      <w:rPr>
        <w:color w:val="666666"/>
        <w:sz w:val="16"/>
      </w:rPr>
      <w:t>Mazur  |</w:t>
    </w:r>
    <w:proofErr w:type="gramEnd"/>
    <w:r>
      <w:rPr>
        <w:color w:val="666666"/>
        <w:sz w:val="16"/>
      </w:rPr>
      <w:t xml:space="preserve">  Strona </w:t>
    </w:r>
    <w:r>
      <w:fldChar w:fldCharType="begin"/>
    </w:r>
    <w:r>
      <w:instrText>PAGE</w:instrText>
    </w:r>
    <w: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66259A" w14:textId="77777777" w:rsidR="008E56CA" w:rsidRDefault="008E56CA">
      <w:pPr>
        <w:spacing w:after="0" w:line="240" w:lineRule="auto"/>
      </w:pPr>
      <w:r>
        <w:separator/>
      </w:r>
    </w:p>
  </w:footnote>
  <w:footnote w:type="continuationSeparator" w:id="0">
    <w:p w14:paraId="2985A6BB" w14:textId="77777777" w:rsidR="008E56CA" w:rsidRDefault="008E56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D8935" w14:textId="77777777" w:rsidR="00F6747C" w:rsidRDefault="00F6747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wan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wan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punktowan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owan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punktowana"/>
      <w:lvlText w:val=""/>
      <w:lvlJc w:val="left"/>
      <w:pPr>
        <w:tabs>
          <w:tab w:val="num" w:pos="360"/>
        </w:tabs>
        <w:ind w:left="360" w:hanging="360"/>
      </w:pPr>
      <w:rPr>
        <w:rFonts w:ascii="Symbol" w:hAnsi="Symbol" w:hint="default"/>
      </w:rPr>
    </w:lvl>
  </w:abstractNum>
  <w:num w:numId="1" w16cid:durableId="1963726667">
    <w:abstractNumId w:val="8"/>
  </w:num>
  <w:num w:numId="2" w16cid:durableId="420226761">
    <w:abstractNumId w:val="6"/>
  </w:num>
  <w:num w:numId="3" w16cid:durableId="412974289">
    <w:abstractNumId w:val="5"/>
  </w:num>
  <w:num w:numId="4" w16cid:durableId="123693327">
    <w:abstractNumId w:val="4"/>
  </w:num>
  <w:num w:numId="5" w16cid:durableId="423494362">
    <w:abstractNumId w:val="7"/>
  </w:num>
  <w:num w:numId="6" w16cid:durableId="506290350">
    <w:abstractNumId w:val="3"/>
  </w:num>
  <w:num w:numId="7" w16cid:durableId="437288857">
    <w:abstractNumId w:val="2"/>
  </w:num>
  <w:num w:numId="8" w16cid:durableId="1665547889">
    <w:abstractNumId w:val="1"/>
  </w:num>
  <w:num w:numId="9" w16cid:durableId="11573026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6E"/>
    <w:rsid w:val="00034616"/>
    <w:rsid w:val="0006063C"/>
    <w:rsid w:val="000B0BCE"/>
    <w:rsid w:val="000B282E"/>
    <w:rsid w:val="000B5C5B"/>
    <w:rsid w:val="000B7752"/>
    <w:rsid w:val="000E149A"/>
    <w:rsid w:val="001307A8"/>
    <w:rsid w:val="00144CCC"/>
    <w:rsid w:val="0015074B"/>
    <w:rsid w:val="00157706"/>
    <w:rsid w:val="00170FC6"/>
    <w:rsid w:val="00183135"/>
    <w:rsid w:val="00250F91"/>
    <w:rsid w:val="0029639D"/>
    <w:rsid w:val="002A1D78"/>
    <w:rsid w:val="002B7A05"/>
    <w:rsid w:val="002D2E3D"/>
    <w:rsid w:val="002E60D7"/>
    <w:rsid w:val="002F24E4"/>
    <w:rsid w:val="002F2EA2"/>
    <w:rsid w:val="00326F90"/>
    <w:rsid w:val="00350740"/>
    <w:rsid w:val="003626D2"/>
    <w:rsid w:val="00391B47"/>
    <w:rsid w:val="003A54B5"/>
    <w:rsid w:val="003C010B"/>
    <w:rsid w:val="003D389F"/>
    <w:rsid w:val="00404AB3"/>
    <w:rsid w:val="00430A2A"/>
    <w:rsid w:val="00436807"/>
    <w:rsid w:val="00492984"/>
    <w:rsid w:val="004C79D5"/>
    <w:rsid w:val="00505D3B"/>
    <w:rsid w:val="005171B4"/>
    <w:rsid w:val="00520812"/>
    <w:rsid w:val="005218DF"/>
    <w:rsid w:val="00536988"/>
    <w:rsid w:val="005436A7"/>
    <w:rsid w:val="00555311"/>
    <w:rsid w:val="0055789D"/>
    <w:rsid w:val="005859E7"/>
    <w:rsid w:val="005D7B4B"/>
    <w:rsid w:val="00617C6D"/>
    <w:rsid w:val="00671ECD"/>
    <w:rsid w:val="006F108A"/>
    <w:rsid w:val="0072348A"/>
    <w:rsid w:val="00744FF6"/>
    <w:rsid w:val="007451FD"/>
    <w:rsid w:val="00753524"/>
    <w:rsid w:val="007572B3"/>
    <w:rsid w:val="007845C9"/>
    <w:rsid w:val="007958E8"/>
    <w:rsid w:val="007A32A7"/>
    <w:rsid w:val="007D0EDE"/>
    <w:rsid w:val="007F2723"/>
    <w:rsid w:val="0080109B"/>
    <w:rsid w:val="008120C4"/>
    <w:rsid w:val="0085186F"/>
    <w:rsid w:val="008709B9"/>
    <w:rsid w:val="00892060"/>
    <w:rsid w:val="008C3B75"/>
    <w:rsid w:val="008C75CB"/>
    <w:rsid w:val="008D0D2A"/>
    <w:rsid w:val="008E56CA"/>
    <w:rsid w:val="00997DE9"/>
    <w:rsid w:val="009F095F"/>
    <w:rsid w:val="009F31A2"/>
    <w:rsid w:val="009F6800"/>
    <w:rsid w:val="00A02183"/>
    <w:rsid w:val="00A14329"/>
    <w:rsid w:val="00A45E1B"/>
    <w:rsid w:val="00A535C4"/>
    <w:rsid w:val="00AA1D8D"/>
    <w:rsid w:val="00AE13B0"/>
    <w:rsid w:val="00AF7590"/>
    <w:rsid w:val="00B0134B"/>
    <w:rsid w:val="00B47730"/>
    <w:rsid w:val="00B607B4"/>
    <w:rsid w:val="00BA4AAF"/>
    <w:rsid w:val="00BB0A80"/>
    <w:rsid w:val="00C2208F"/>
    <w:rsid w:val="00C302B7"/>
    <w:rsid w:val="00C62E5A"/>
    <w:rsid w:val="00CB0664"/>
    <w:rsid w:val="00D03A63"/>
    <w:rsid w:val="00D21B55"/>
    <w:rsid w:val="00D22FBE"/>
    <w:rsid w:val="00D2414B"/>
    <w:rsid w:val="00D7535D"/>
    <w:rsid w:val="00DF74C1"/>
    <w:rsid w:val="00EF3709"/>
    <w:rsid w:val="00F05F0C"/>
    <w:rsid w:val="00F12DC9"/>
    <w:rsid w:val="00F3442E"/>
    <w:rsid w:val="00F369F9"/>
    <w:rsid w:val="00F6747C"/>
    <w:rsid w:val="00F95910"/>
    <w:rsid w:val="00FC2B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35AD34"/>
  <w14:defaultImageDpi w14:val="300"/>
  <w15:docId w15:val="{9DF3ADC0-0730-4F08-9D10-43AB28A1A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C693F"/>
    <w:rPr>
      <w:rFonts w:ascii="Calibri" w:hAnsi="Calibri"/>
    </w:rPr>
  </w:style>
  <w:style w:type="paragraph" w:styleId="Nagwek1">
    <w:name w:val="heading 1"/>
    <w:basedOn w:val="Normalny"/>
    <w:next w:val="Normalny"/>
    <w:link w:val="Nagwek1Znak"/>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pPr>
      <w:spacing w:after="120"/>
    </w:pPr>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after="120"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pPr>
      <w:spacing w:after="120"/>
    </w:pPr>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numPr>
        <w:numId w:val="1"/>
      </w:numPr>
      <w:contextualSpacing/>
    </w:pPr>
  </w:style>
  <w:style w:type="paragraph" w:styleId="Listapunktowana2">
    <w:name w:val="List Bullet 2"/>
    <w:basedOn w:val="Normalny"/>
    <w:uiPriority w:val="99"/>
    <w:unhideWhenUsed/>
    <w:rsid w:val="00326F90"/>
    <w:pPr>
      <w:numPr>
        <w:numId w:val="2"/>
      </w:numPr>
      <w:contextualSpacing/>
    </w:pPr>
  </w:style>
  <w:style w:type="paragraph" w:styleId="Listapunktowana3">
    <w:name w:val="List Bullet 3"/>
    <w:basedOn w:val="Normalny"/>
    <w:uiPriority w:val="99"/>
    <w:unhideWhenUsed/>
    <w:rsid w:val="00326F90"/>
    <w:pPr>
      <w:numPr>
        <w:numId w:val="3"/>
      </w:numPr>
      <w:contextualSpacing/>
    </w:pPr>
  </w:style>
  <w:style w:type="paragraph" w:styleId="Listanumerowana">
    <w:name w:val="List Number"/>
    <w:basedOn w:val="Normalny"/>
    <w:uiPriority w:val="99"/>
    <w:unhideWhenUsed/>
    <w:rsid w:val="00326F90"/>
    <w:pPr>
      <w:numPr>
        <w:numId w:val="5"/>
      </w:numPr>
      <w:contextualSpacing/>
    </w:pPr>
  </w:style>
  <w:style w:type="paragraph" w:styleId="Listanumerowana2">
    <w:name w:val="List Number 2"/>
    <w:basedOn w:val="Normalny"/>
    <w:uiPriority w:val="99"/>
    <w:unhideWhenUsed/>
    <w:rsid w:val="0029639D"/>
    <w:pPr>
      <w:numPr>
        <w:numId w:val="6"/>
      </w:numPr>
      <w:contextualSpacing/>
    </w:pPr>
  </w:style>
  <w:style w:type="paragraph" w:styleId="Listanumerowana3">
    <w:name w:val="List Number 3"/>
    <w:basedOn w:val="Normalny"/>
    <w:uiPriority w:val="99"/>
    <w:unhideWhenUsed/>
    <w:rsid w:val="0029639D"/>
    <w:pPr>
      <w:numPr>
        <w:numId w:val="7"/>
      </w:numPr>
      <w:contextualSpacing/>
    </w:pPr>
  </w:style>
  <w:style w:type="paragraph" w:styleId="Lista-kontynuacja">
    <w:name w:val="List Continue"/>
    <w:basedOn w:val="Normalny"/>
    <w:uiPriority w:val="99"/>
    <w:unhideWhenUsed/>
    <w:rsid w:val="0029639D"/>
    <w:pPr>
      <w:spacing w:after="120"/>
      <w:ind w:left="360"/>
      <w:contextualSpacing/>
    </w:pPr>
  </w:style>
  <w:style w:type="paragraph" w:styleId="Lista-kontynuacja2">
    <w:name w:val="List Continue 2"/>
    <w:basedOn w:val="Normalny"/>
    <w:uiPriority w:val="99"/>
    <w:unhideWhenUsed/>
    <w:rsid w:val="0029639D"/>
    <w:pPr>
      <w:spacing w:after="120"/>
      <w:ind w:left="720"/>
      <w:contextualSpacing/>
    </w:pPr>
  </w:style>
  <w:style w:type="paragraph" w:styleId="Lista-kontynuacja3">
    <w:name w:val="List Continue 3"/>
    <w:basedOn w:val="Normalny"/>
    <w:uiPriority w:val="99"/>
    <w:unhideWhenUsed/>
    <w:rsid w:val="0029639D"/>
    <w:pPr>
      <w:spacing w:after="120"/>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rPr>
      <w:i/>
      <w:iCs/>
      <w:color w:val="000000" w:themeColor="text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4F81BD" w:themeColor="accent1"/>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9</Pages>
  <Words>2286</Words>
  <Characters>13719</Characters>
  <Application>Microsoft Office Word</Application>
  <DocSecurity>0</DocSecurity>
  <Lines>114</Lines>
  <Paragraphs>31</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15974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Mazur, Mateusz</cp:lastModifiedBy>
  <cp:revision>23</cp:revision>
  <dcterms:created xsi:type="dcterms:W3CDTF">2026-07-08T11:11:00Z</dcterms:created>
  <dcterms:modified xsi:type="dcterms:W3CDTF">2026-09-10T06:20:00Z</dcterms:modified>
  <cp:category/>
</cp:coreProperties>
</file>