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F95910"/>
        </w:tc>
        <w:tc>
          <w:tcPr>
            <w:tcW w:w="6908" w:type="dxa"/>
          </w:tcPr>
          <w:p w14:paraId="6E86EE1A" w14:textId="77777777" w:rsidR="00F95910" w:rsidRDefault="00F95910"/>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Część zasad formularza uprawnień jest niejednoznaczna lub wzajemnie sprzeczna (m.in. poziom CEO w Flow 2, kto zatwierdza obniżenie bazy, sposób liczenia marży i kwartału, opisy widoczności niezgodne z zaznaczeniami). Lista pytań do biznesu: „Historia wersji oraz md/questions_for_lukasz.md”; do czasu odpowiedzi działają przyjęte założenia opisane w tym pliku.</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Omówienie z biznesem listy otwartych pytań do modelu uprawnień (questions_for_lukasz.md) i naniesienie odpowiedzi w panelu Uprawnienia (progi, poziomy, widoczność).</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