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11.09.2026 - 11.09.2026</w:t>
            </w:r>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w:t>
            </w:r>
          </w:p>
        </w:tc>
        <w:tc>
          <w:tcPr>
            <w:tcW w:w="1568" w:type="dxa"/>
          </w:tcPr>
          <w:p w14:paraId="641FD02E" w14:textId="77777777" w:rsidR="00F95910" w:rsidRDefault="00505D3B">
            <w:r>
              <w:t>11.09.2026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 Dodano też harmonogram kwartalny PGL bazowego: administrator planuje ceny na Q1–Q4 wybranego roku osobno dla każdego typu stali, a kalkulator przełącza się na cenę danego kwartału automatycznie z chwilą jego rozpoczęcia. Tabela w panelu administratora pokazuje obok siebie cenę bieżącego miesiąca i wszystkie cztery kwartały. Funkcja wymaga migracji bazy danych (021_create_pgl_quarterly_prices.sql). Poprawiono też zapis ustawień, który przy aktywnej cenie kwartalnej nadpisywał nią ręczną cenę bazową PGL, oraz zaktualizowano dokumentację repozytorium (README, opis „About” na GitHubie, zrzuty ekranu kalkulatora) i numer wersji w nagłówku aplikacji do v1.8. Cały panel kalkulacji zyskał też zwijanie/rozwijanie jednym kliknięciem, analogicznie do panelu Danych Klienta. Ostrzeżenia o PGL poniżej bazy i marży poniżej minimum stały się też wyraźnie widoczne - zamiast drobnego żółtego tekstu pokazują się teraz jako czerwono obramowany, pogrubiony komunikat. Złom w podsumowaniu SSC przestał być stałą kwotą 10 €/t — jest teraz % ceny wsadu (domyślnie 2%), konfigurowalny przez administratora w Ustawieniach. Poprawiono też historię zmian cen bazowych PGL, która nie rejestrowała zmian wprowadzanych przez harmonogram kwartalny (edycję ceny bieżącego kwartału) — teraz trafiają do tego samego logu co ręczne zmiany.</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 xml:space="preserve">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lastRenderedPageBreak/>
              <w:t xml:space="preserve">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w:t>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bazowa  -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Dokumentacja repozytorium — README opisywał stan sprzed kilku wersji: brakowało transportu liczonego z trasy, zespołów seniora, metryk handlowców i całej wersji 1.8, a lista migracji bazy urywała się na 018. Opis funkcji został przepisany i pogrupowany w sekcje, listę migracji zastąpiono pętlą po katalogu migrations (nie zdezaktualizuje się przy kolejnej migracji), doszła tabela zmiennych środowiskowych wraz z kluczem do wyznaczania tras oraz opis uruchomienia środowiska lokalnego jednym skryptem. Odświeżono także trzy zrzuty ekranu kalkulatora — poprzednie pochodziły z lipca i pokazywały wersję 1.0 z trzema typami stali zamiast obecnych sześciu. Zaktualizowano również opis repozytorium na GitHubie (sekcja „About”), który nadal mówił o wersji 1.5.</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Numer wersji w nagłówku aplikacji podniesiony do v1.8 we wszystkich czterech językach. Zgodnie z przyjętą zasadą repozytorium wyprzedza produkcję o jedną wersję: na środowisku produkcyjnym działa 1.7, w repozytorium trwają prace nad 1.8.</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Harmonogram kwartalny PGL — w panelu administratora sekcja „Konfiguracja” zyskała jedną tabelę PGL bazowego: wiersz na typ stali (HRS, CR, HDG, PICKLED, TEARDROP, ZM), kolumna bieżącego miesiąca oraz kolumny Q1–Q4 wybranego roku (przełącznik roku obok nagłówka). Administrator może wpisać cenę na przyszły kwartał z wyprzedzeniem — kalkulator zaczyna jej używać sam, z chwilą rozpoczęcia tego kwartału, bez żadnej dodatkowej akcji. Kolumna bieżącego miesiąca pokazuje cenę obowiązującą w danej chwili: gdy pochodzi z zaplanowanego kwartału, jest tylko do odczytu i oznaczona numerem tego kwartału (edycja odbywa się w jego kolumnie), a gdy dla trwającego kwartału nic nie zaplanowano — pozostaje zwykłym polem z dotychczasową wartością ręczną. Aktywny kwartał jest w tabeli wyróżniony. Zaplanowane ceny wpływają wyłącznie na wartość startową NOWEJ kalkulacji oraz na próg wymagający zatwierdzenia oferty; oferty zapisane, oczekujące na akceptację i wysłane zachowują PGL z dnia wyceny. Funkcja wymaga migracji bazy danych (021_create_pgl_quarterly_prices.sql).</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Panel kalkulacji zwijany – cały blok liczenia jednej pozycji (wybór typu blachy, przełącznik ARKUSZ/KRĄG, parametry wejściowe, waga arkusza/ostrzeżenia oraz siatka wynikowa z dopłatami huty, dopłatami SSC i marżą) zyskał nagłówek z możliwością zwinięcia i rozwinięcia, dokładnie tak samo jak panel Danych Klienta powyżej niego. Domyślnie rozwinięty przy wejściu na kalkulator; zestawienie pozycji oferty zostaje osobnym, zawsze widocznym panelem poniżej, niezależnie od stanu panelu kalkulacji – zwinięcie ułatwia szybkie przewijanie do zestawienia przy dłuższych ofertach.</w:t>
            </w:r>
          </w:p>
        </w:tc>
      </w:tr>
      <w:tr w:rsidR="00F95910" w14:paraId="31A7292B" w14:textId="77777777">
        <w:tc>
          <w:tcPr>
            <w:tcW w:w="1948" w:type="dxa"/>
          </w:tcPr>
          <w:p w14:paraId="6B878E97" w14:textId="77777777" w:rsidR="00F95910" w:rsidRDefault="00000000">
            <w:r>
              <w:t>Poprawka</w:t>
            </w:r>
          </w:p>
        </w:tc>
        <w:tc>
          <w:tcPr>
            <w:tcW w:w="6908" w:type="dxa"/>
          </w:tcPr>
          <w:p w14:paraId="4A762646" w14:textId="77777777" w:rsidR="00F95910" w:rsidRDefault="00000000">
            <w:r>
              <w:t>Zapis ustawień nie nadpisuje już ręcznej ceny bazowej PGL ceną kwartalną. Gdy dla danego typu stali obowiązywała cena zaplanowana na bieżący kwartał, formularz ustawień trzymał właśnie tę wartość i przy zapisie karty odsyłał ją do kolumny z ceną ręczną — czyli do wartości, z której kalkulator korzysta po zakończeniu kwartału, gdy kolejny nie ma jeszcze zaplanowanej ceny. Działo się to przy każdym zapisie tej karty, również wtedy, gdy administrator zmieniał wyłącznie kurs waluty. Po poprawce zapis pomija ceny bazowe tych typów, dla których bieżący kwartał ma zaplanowaną cenę — ich pola i tak są w tabeli tylko do odczytu. Błąd wykryty i naprawiony przed wdrożeniem wersji 1.8.</w:t>
            </w:r>
          </w:p>
        </w:tc>
      </w:tr>
      <w:tr w:rsidR="00F95910" w14:paraId="31A7292C" w14:textId="77777777">
        <w:tc>
          <w:tcPr>
            <w:tcW w:w="1948" w:type="dxa"/>
          </w:tcPr>
          <w:p w14:paraId="6B878E98" w14:textId="77777777" w:rsidR="00F95910" w:rsidRDefault="00000000">
            <w:r>
              <w:t>Poprawka</w:t>
            </w:r>
          </w:p>
        </w:tc>
        <w:tc>
          <w:tcPr>
            <w:tcW w:w="6908" w:type="dxa"/>
          </w:tcPr>
          <w:p w14:paraId="4A762647" w14:textId="77777777" w:rsidR="00F95910" w:rsidRDefault="00000000">
            <w:r>
              <w:t>Widoczność ostrzeżeń o cenie poniżej progu — komunikaty „PGL poniżej bazy” i „marża poniżej minimum” były drobnym żółtym tekstem z ikoną ⚠, słabo zauważalnym na liście parametrów; handlowcy zgłaszali, że łatwo je przeoczyć, mimo że pozycja z taką wartością wymaga później zatwierdzenia oferty (patrz lib/offerReview.ts). Oba komunikaty przeniesiono do wyraźnie odznaczonego, czerwono obramowanego bloku z pogrubionym tekstem, zamiast dotychczasowej cienkiej żółtej linijki.</w:t>
            </w:r>
          </w:p>
        </w:tc>
      </w:tr>
      <w:tr w:rsidR="00F95910" w14:paraId="31A7292C" w14:textId="77777777">
        <w:tc>
          <w:tcPr>
            <w:tcW w:w="1948" w:type="dxa"/>
          </w:tcPr>
          <w:p w14:paraId="6B878E98" w14:textId="77777777" w:rsidR="00F95910" w:rsidRDefault="00000000">
            <w:r>
              <w:t>Zmiana</w:t>
            </w:r>
          </w:p>
        </w:tc>
        <w:tc>
          <w:tcPr>
            <w:tcW w:w="6908" w:type="dxa"/>
          </w:tcPr>
          <w:p w14:paraId="4A762647" w14:textId="77777777" w:rsidR="00F95910" w:rsidRDefault="00000000">
            <w:r>
              <w:t>Złom w podsumowaniu SSC — dotąd stała kwota 10 €/t (SCRAP_CONSTANT w kodzie), teraz % ceny wsadu (PGL + Σ Huta), domyślnie 2%. Procent jest konfigurowalny przez administratora w Ustawieniach (nowe pole „Złom (%)”, walidacja 0–100, ten sam mechanizm co minimalna marża) i zapisany w bazie (migracja 022_add_scrap_pct.sql). Wiersz „Złom” w podsumowaniu pokazuje teraz aktualny procent i przeliczoną kwotę zamiast dotychczasowego oznaczenia „(stała)”. Tą samą logiką zaktualizowano też dwa niezależne, samodzielne kalkulatory HTML w repozytorium (index.html, steel_calculator_standalone.html).</w:t>
            </w:r>
          </w:p>
        </w:tc>
      </w:tr>
      <w:tr w:rsidR="00F95910" w14:paraId="31A7292B" w14:textId="77777777">
        <w:tc>
          <w:tcPr>
            <w:tcW w:w="1948" w:type="dxa"/>
          </w:tcPr>
          <w:p w14:paraId="43565050" w14:textId="77777777" w:rsidR="00F95910" w:rsidRDefault="00000000">
            <w:r>
              <w:t>Poprawka</w:t>
            </w:r>
          </w:p>
        </w:tc>
        <w:tc>
          <w:tcPr>
            <w:tcW w:w="6908" w:type="dxa"/>
          </w:tcPr>
          <w:p w14:paraId="7BA78195" w14:textId="77777777" w:rsidR="00F95910" w:rsidRDefault="00000000">
            <w:r>
              <w:t>Historia zmian cen bazowych PGL nie rejestrowała zmian wprowadzanych przez harmonogram kwartalny. Gdy dla danego typu stali bieżący kwartał miał zaplanowaną cenę, pole ręczne w tabeli było tylko do odczytu, a jedynym sposobem na zmianę ceny „teraz” była edycja komórki tego kwartału — ten zapis szedł osobnym mechanizmem (PUT /api/settings/pgl-quarterly) i nie trafiał do logu historii, mimo że cena faktycznie się zmieniała. Po poprawce zmiana ceny bieżącego kwartału jest logowana tym samym mechanizmem co ręczna zmiana ceny bazowej, a panel odświeża tabelę historii również po zapisie harmonogramu.</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gatunek jednorazowy, odbiór własny w transporcie oraz harmonogram kwartalny PGL) są gotowe i przetestowane lokalnie, ale nie zostały jeszcze wdrożone na środowisko produkcyjne; trzy pierwsze nie wymagają migracji bazy danych (dane trafiają do istniejącego pola JSONB „offer_data”), natomiast harmonogram kwartalny PGL wymaga uruchomienia migracji 021_create_pgl_quarterly_prices.sql przed podmianą plików aplikacji.</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harmonogram kwartalny PGL) na środowisko produkcyjne — wraz z migracją 021_create_pgl_quarterly_prices.sql</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