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1.7</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01.09.2026 -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01.09.2026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1.7</w:t>
            </w:r>
          </w:p>
        </w:tc>
        <w:tc>
          <w:tcPr>
            <w:tcW w:w="2481" w:type="dxa"/>
          </w:tcPr>
          <w:p w14:paraId="04F53672" w14:textId="2627B1C7" w:rsidR="00F95910" w:rsidRDefault="000B0BCE">
            <w:r>
              <w:t>01.09.2026 - ..</w:t>
            </w:r>
          </w:p>
        </w:tc>
        <w:tc>
          <w:tcPr>
            <w:tcW w:w="1568" w:type="dxa"/>
          </w:tcPr>
          <w:p w14:paraId="4E365F06" w14:textId="4B227151" w:rsidR="00F95910" w:rsidRDefault="00505D3B">
            <w:r>
              <w:t>..</w:t>
            </w:r>
          </w:p>
        </w:tc>
        <w:tc>
          <w:tcPr>
            <w:tcW w:w="3581" w:type="dxa"/>
          </w:tcPr>
          <w:p w14:paraId="16E83815"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19.08.2026 - 01.09.2026</w:t>
            </w:r>
          </w:p>
        </w:tc>
        <w:tc>
          <w:tcPr>
            <w:tcW w:w="1568" w:type="dxa"/>
          </w:tcPr>
          <w:p w14:paraId="4E365F06" w14:textId="4B227151" w:rsidR="00F95910" w:rsidRDefault="00505D3B">
            <w:r>
              <w:t>01.09.2026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1.7</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(w przygotowaniu)</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(w przygotowaniu)</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Poprawka</w:t>
            </w:r>
          </w:p>
        </w:tc>
        <w:tc>
          <w:tcPr>
            <w:tcW w:w="6908" w:type="dxa"/>
          </w:tcPr>
          <w:p w14:paraId="06ABEC31"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wysyłki - Moje oferty, Panel seniora i Panel administratora.</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Senior może zbudować zespół z juniorów. W panelu seniora oraz w panelu administratora (przy każdym seniorze) doszła sekcja „Mój zespół” do dodawania i usuwania juniorów. W panelu „Analiza” senior widzi teraz dane własne oraz wszystkich członków zespołu i może zawęzić widok do siebie albo do wybranego juniora - filtr, podział serii i zestawienie „wg handlowca” włączają się, gdy zespół jest niepusty. Zakres jest pilnowany po stronie serwera, więc ręczna zmiana adresu nie wychodzi poza zespół. Junior bez zmian - widzi wyłącznie własne dane. Dodano tabelę „team_members” (migracja 019); przynależność jest wiele-do-wielu, więc ten sam junior może być w kilku zespołach, a każdy senior liczy jego oferty u siebie raz. Zestawienia ogólnofirmowe administratora nie korzystają z zespołów, więc nic nie jest liczone podwójnie.</w:t>
            </w:r>
          </w:p>
        </w:tc>
      </w:tr>
      <w:tr w:rsidR="00F95910" w14:paraId="0C90B72C" w14:textId="77777777">
        <w:tc>
          <w:tcPr>
            <w:tcW w:w="1948" w:type="dxa"/>
          </w:tcPr>
          <w:p w14:paraId="3DEEA139" w14:textId="77777777" w:rsidR="00F95910" w:rsidRDefault="00000000">
            <w:r>
              <w:t>Poprawka</w:t>
            </w:r>
          </w:p>
        </w:tc>
        <w:tc>
          <w:tcPr>
            <w:tcW w:w="6908" w:type="dxa"/>
          </w:tcPr>
          <w:p w14:paraId="06ABEC31" w14:textId="77777777" w:rsidR="00F95910" w:rsidRDefault="00000000">
            <w:r>
              <w:t>Eksport do Excela otwiera się z kolumnami dopasowanymi do zawartości. Wcześniej każda kolumna miała domyślną szerokość około ośmiu znaków, więc użytkownik musiał ręcznie rozciągać każdą z nich, żeby odczytać gatunek, wymiary czy pozycję. Szerokość jest teraz liczona z najdłuższej wartości w kolumnie (razem z nagłówkiem) i przycinana do zakresu 8-60 znaków, żeby długi komentarz nie rozjechał arkusza. Dotyczy wszystkich trzech eksportów: zestawienia oferty w formacie KTS/GPAO (Moje oferty, Panel seniora, Panel administratora, kalkulator), panelu „Analiza” oraz historii cen bazowych PGL.</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Zmiana</w:t>
            </w:r>
          </w:p>
        </w:tc>
        <w:tc>
          <w:tcPr>
            <w:tcW w:w="6908" w:type="dxa"/>
          </w:tcPr>
          <w:p w14:paraId="07A534EB" w14:textId="77777777" w:rsidR="00F95910" w:rsidRDefault="00000000">
            <w:r>
              <w:t>(w przygotowaniu)</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przygotowaniu)</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Panel „Analiza” wraz z migracją „decyzja klienta” (018) jest już na środowisku produkcyjnym. Po wdrożeniu wykryto i naprawiono błąd zapisu decyzji klienta - patrz tabela „Zarządzanie ofertami” (przed poprawką funkcja nie zapisywała ani wygranej, ani przegranej). Migracje 001-017 są na produkcji od wdrożenia wersji 1.5 (17.08.2026).</w:t>
      </w:r>
    </w:p>
    <w:p w14:paraId="3BC625C9" w14:textId="77777777" w:rsidR="008C3B75" w:rsidRDefault="006F108A" w:rsidP="008C3B75">
      <w:pPr>
        <w:pStyle w:val="Listapunktowana"/>
      </w:pPr>
      <w:r>
        <w:t>Zespoły seniora i zakres panelu „Analiza” dla seniora (migracja 019, tabela „team_members”) - zbudowane i przetestowane lokalnie, oczekują na uruchomienie migracji i wdrożenie na środowisko produkcyjne.</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