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0C9F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752C22C6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DA6BF7A" w14:textId="77777777">
        <w:tc>
          <w:tcPr>
            <w:tcW w:w="3118" w:type="dxa"/>
          </w:tcPr>
          <w:p w14:paraId="393EFF2A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40CFC433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326FDACB" w14:textId="77777777">
        <w:tc>
          <w:tcPr>
            <w:tcW w:w="3118" w:type="dxa"/>
          </w:tcPr>
          <w:p w14:paraId="010C9B31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5BAA619E" w14:textId="77777777" w:rsidR="00BA4AAF" w:rsidRDefault="00250F91">
            <w:r>
              <w:rPr>
                <w:color w:val="1F2A44"/>
              </w:rPr>
              <w:t>1.5</w:t>
            </w:r>
          </w:p>
        </w:tc>
      </w:tr>
      <w:tr w:rsidR="00BA4AAF" w14:paraId="06C24F19" w14:textId="77777777">
        <w:tc>
          <w:tcPr>
            <w:tcW w:w="3118" w:type="dxa"/>
          </w:tcPr>
          <w:p w14:paraId="08296E5F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87BF712" w14:textId="3A771308" w:rsidR="00BA4AAF" w:rsidRDefault="008120C4">
            <w:r>
              <w:t>04.08.2026</w:t>
            </w:r>
          </w:p>
        </w:tc>
      </w:tr>
      <w:tr w:rsidR="00BA4AAF" w14:paraId="7463AD60" w14:textId="77777777">
        <w:tc>
          <w:tcPr>
            <w:tcW w:w="3118" w:type="dxa"/>
          </w:tcPr>
          <w:p w14:paraId="67613896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17C4CFC6" w14:textId="79420EF2" w:rsidR="00BA4AAF" w:rsidRDefault="00C302B7">
            <w:r>
              <w:t>4.08.2026</w:t>
            </w:r>
          </w:p>
        </w:tc>
      </w:tr>
    </w:tbl>
    <w:p w14:paraId="2EFF42E6" w14:textId="77777777" w:rsidR="00BA4AAF" w:rsidRDefault="00BA4AAF"/>
    <w:p w14:paraId="11B63152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158EE05F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5B291F3B" w14:textId="77777777" w:rsidTr="006F108A">
        <w:tc>
          <w:tcPr>
            <w:tcW w:w="1226" w:type="dxa"/>
            <w:shd w:val="clear" w:color="auto" w:fill="2B57A6"/>
          </w:tcPr>
          <w:p w14:paraId="25425E3A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7E259602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2F8BAC0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1B20FA25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>
        <w:tc>
          <w:tcPr>
            <w:tcW w:type="dxa" w:w="1226"/>
          </w:tcPr>
          <w:p>
            <w:r>
              <w:t>1.5</w:t>
            </w:r>
          </w:p>
        </w:tc>
        <w:tc>
          <w:tcPr>
            <w:tcW w:type="dxa" w:w="2481"/>
          </w:tcPr>
          <w:p>
            <w:r>
              <w:t>4.08.2026</w:t>
            </w:r>
          </w:p>
        </w:tc>
        <w:tc>
          <w:tcPr>
            <w:tcW w:type="dxa" w:w="1568"/>
          </w:tcPr>
          <w:p>
            <w:r>
              <w:t>4.08.2026</w:t>
            </w:r>
          </w:p>
        </w:tc>
        <w:tc>
          <w:tcPr>
            <w:tcW w:type="dxa" w:w="3581"/>
          </w:tcPr>
          <w:p>
            <w:r>
              <w:t>Naprawiono brak synchronizacji kontaktu głównego wpisywanego w panelu „Klienci” z tabelą osób kontaktowych - dane osoby zapisane przy edycji firmy nie pojawiały się w zakładce „Kontakty”. Panel „Klienci” zyskał akcję „Kontakty” przy każdej firmie: rozwija listę zapisanych dla niej osób z możliwością edycji i usunięcia każdej z osobna oraz formularzem dodania kolejnej, bez przechodzenia do osobnej zakładki. Dodano migrację uzupełniającą kontakty zapisane, zanim ta poprawka weszła w życie.</w:t>
            </w:r>
            <w:r>
              <w:t xml:space="preserve"> Dodano tryb „Wysoki kontrast” (przycisk obok Jasny/Ciemny, dostępny na wszystkich podstronach) - pogrubiona czcionka, większy tekst i mocno kontrastowe kolory dla handlowców pracujących na starszych lub bardzo małych ekranach. W tym samym okresie dodano historię zmian cen bazowych PGL z eksportem do Excela, kolorowe oznaczenia typów stali HRS/CR/HDG w panelu ustawień oraz klikalne kafelki statusów na pulpicie administratora, a w kalkulatorze kliknięcie wiersza pozycji otwiera ją do edycji.</w:t>
            </w:r>
          </w:p>
        </w:tc>
      </w:tr>
      <w:tr w:rsidR="007958E8" w14:paraId="0CB563FB" w14:textId="77777777">
        <w:tc>
          <w:tcPr>
            <w:tcW w:w="1226" w:type="dxa"/>
          </w:tcPr>
          <w:p w14:paraId="539FF758" w14:textId="77777777" w:rsidR="007958E8" w:rsidRDefault="00000000">
            <w:r>
              <w:t>1.4</w:t>
            </w:r>
          </w:p>
        </w:tc>
        <w:tc>
          <w:tcPr>
            <w:tcW w:w="2481" w:type="dxa"/>
          </w:tcPr>
          <w:p w14:paraId="3AE0CDCD" w14:textId="45FF1989" w:rsidR="007958E8" w:rsidRDefault="008120C4">
            <w:r>
              <w:t xml:space="preserve">31.07.2026 - </w:t>
            </w:r>
            <w:r w:rsidR="00DF74C1">
              <w:t>4</w:t>
            </w:r>
            <w:r>
              <w:t>.</w:t>
            </w:r>
            <w:r w:rsidR="00DF74C1">
              <w:t>08</w:t>
            </w:r>
            <w:r>
              <w:t>.</w:t>
            </w:r>
            <w:r w:rsidR="00DF74C1">
              <w:t>2026</w:t>
            </w:r>
          </w:p>
        </w:tc>
        <w:tc>
          <w:tcPr>
            <w:tcW w:w="1568" w:type="dxa"/>
          </w:tcPr>
          <w:p w14:paraId="5D43FB5A" w14:textId="301043BE" w:rsidR="007958E8" w:rsidRDefault="00C302B7">
            <w:r>
              <w:t>4</w:t>
            </w:r>
            <w:r w:rsidR="00000000">
              <w:t>.</w:t>
            </w:r>
            <w:r>
              <w:t>08</w:t>
            </w:r>
            <w:r w:rsidR="00000000">
              <w:t>.</w:t>
            </w:r>
            <w:r>
              <w:t>2026</w:t>
            </w:r>
          </w:p>
        </w:tc>
        <w:tc>
          <w:tcPr>
            <w:tcW w:w="3581" w:type="dxa"/>
          </w:tcPr>
          <w:p w14:paraId="140E8949" w14:textId="77777777" w:rsidR="007958E8" w:rsidRDefault="007958E8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bezpieczeństwa</w:t>
            </w:r>
            <w:proofErr w:type="spellEnd"/>
            <w:r>
              <w:t xml:space="preserve"> </w:t>
            </w:r>
            <w:proofErr w:type="spellStart"/>
            <w:r>
              <w:t>eksportu</w:t>
            </w:r>
            <w:proofErr w:type="spellEnd"/>
            <w:r>
              <w:t xml:space="preserve"> PDF: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wpisywane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zabezpieczane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wykonaniem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usługi</w:t>
            </w:r>
            <w:proofErr w:type="spellEnd"/>
            <w:r>
              <w:t xml:space="preserve"> </w:t>
            </w:r>
            <w:proofErr w:type="spellStart"/>
            <w:r>
              <w:t>generującej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  <w:r>
              <w:t xml:space="preserve">, a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generowanie</w:t>
            </w:r>
            <w:proofErr w:type="spellEnd"/>
            <w:r>
              <w:t xml:space="preserve"> PDF </w:t>
            </w:r>
            <w:proofErr w:type="spellStart"/>
            <w:r>
              <w:t>wymaga</w:t>
            </w:r>
            <w:proofErr w:type="spellEnd"/>
            <w:r>
              <w:t xml:space="preserve"> </w:t>
            </w:r>
            <w:proofErr w:type="spellStart"/>
            <w:r>
              <w:t>jawnie</w:t>
            </w:r>
            <w:proofErr w:type="spellEnd"/>
            <w:r>
              <w:t xml:space="preserve"> </w:t>
            </w:r>
            <w:proofErr w:type="spellStart"/>
            <w:r>
              <w:t>potwierdzonej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. W </w:t>
            </w:r>
            <w:proofErr w:type="spellStart"/>
            <w:r>
              <w:t>kalkulatorze</w:t>
            </w:r>
            <w:proofErr w:type="spellEnd"/>
            <w:r>
              <w:t xml:space="preserve">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ostrzeżenie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 </w:t>
            </w:r>
            <w:proofErr w:type="spellStart"/>
            <w:r>
              <w:t>dodanych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wersją</w:t>
            </w:r>
            <w:proofErr w:type="spellEnd"/>
            <w:r>
              <w:t xml:space="preserve"> 1.3,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których</w:t>
            </w:r>
            <w:proofErr w:type="spellEnd"/>
            <w:r>
              <w:t xml:space="preserve"> </w:t>
            </w:r>
            <w:proofErr w:type="spellStart"/>
            <w:r>
              <w:t>konfiguracja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została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da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odtworzyć</w:t>
            </w:r>
            <w:proofErr w:type="spellEnd"/>
            <w:r>
              <w:t xml:space="preserve">. </w:t>
            </w:r>
            <w:proofErr w:type="spellStart"/>
            <w:r>
              <w:t>Przebudowano</w:t>
            </w:r>
            <w:proofErr w:type="spellEnd"/>
            <w:r>
              <w:t xml:space="preserve"> panel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(</w:t>
            </w:r>
            <w:proofErr w:type="spellStart"/>
            <w:r>
              <w:t>firma</w:t>
            </w:r>
            <w:proofErr w:type="spellEnd"/>
            <w:r>
              <w:t xml:space="preserve">, NIP, </w:t>
            </w:r>
            <w:proofErr w:type="spellStart"/>
            <w:r>
              <w:t>adres</w:t>
            </w:r>
            <w:proofErr w:type="spellEnd"/>
            <w:r>
              <w:t xml:space="preserve">, SAP ID) </w:t>
            </w:r>
            <w:proofErr w:type="spellStart"/>
            <w:r>
              <w:t>zostały</w:t>
            </w:r>
            <w:proofErr w:type="spellEnd"/>
            <w:r>
              <w:t xml:space="preserve"> </w:t>
            </w:r>
            <w:proofErr w:type="spellStart"/>
            <w:r>
              <w:t>oddzielone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, a </w:t>
            </w:r>
            <w:proofErr w:type="spellStart"/>
            <w:r>
              <w:t>pola</w:t>
            </w:r>
            <w:proofErr w:type="spellEnd"/>
            <w:r>
              <w:t xml:space="preserve"> „</w:t>
            </w:r>
            <w:proofErr w:type="spellStart"/>
            <w:r>
              <w:t>Firma</w:t>
            </w:r>
            <w:proofErr w:type="spellEnd"/>
            <w:r>
              <w:t xml:space="preserve">” </w:t>
            </w:r>
            <w:proofErr w:type="spellStart"/>
            <w:r>
              <w:t>i</w:t>
            </w:r>
            <w:proofErr w:type="spellEnd"/>
            <w:r>
              <w:t xml:space="preserve"> „NIP” </w:t>
            </w:r>
            <w:proofErr w:type="spellStart"/>
            <w:r>
              <w:t>działają</w:t>
            </w:r>
            <w:proofErr w:type="spellEnd"/>
            <w:r>
              <w:t xml:space="preserve"> jak </w:t>
            </w:r>
            <w:proofErr w:type="spellStart"/>
            <w:r>
              <w:t>wyszukiwarki</w:t>
            </w:r>
            <w:proofErr w:type="spellEnd"/>
            <w:r>
              <w:t xml:space="preserve"> po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.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kontaktowe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wspólne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całego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- </w:t>
            </w:r>
            <w:proofErr w:type="spellStart"/>
            <w:r>
              <w:t>jedna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mieć</w:t>
            </w:r>
            <w:proofErr w:type="spellEnd"/>
            <w:r>
              <w:t xml:space="preserve"> ich </w:t>
            </w:r>
            <w:proofErr w:type="spellStart"/>
            <w:r>
              <w:t>wiele</w:t>
            </w:r>
            <w:proofErr w:type="spellEnd"/>
            <w:r>
              <w:t xml:space="preserve">, a pole </w:t>
            </w:r>
            <w:proofErr w:type="spellStart"/>
            <w:r>
              <w:t>imienia</w:t>
            </w:r>
            <w:proofErr w:type="spellEnd"/>
            <w:r>
              <w:t xml:space="preserve"> </w:t>
            </w:r>
            <w:proofErr w:type="spellStart"/>
            <w:r>
              <w:t>podpowiada</w:t>
            </w:r>
            <w:proofErr w:type="spellEnd"/>
            <w:r>
              <w:t xml:space="preserve"> je od </w:t>
            </w:r>
            <w:proofErr w:type="spellStart"/>
            <w:r>
              <w:t>razu</w:t>
            </w:r>
            <w:proofErr w:type="spellEnd"/>
            <w:r>
              <w:t xml:space="preserve"> po </w:t>
            </w:r>
            <w:proofErr w:type="spellStart"/>
            <w:r>
              <w:t>kliknięciu</w:t>
            </w:r>
            <w:proofErr w:type="spellEnd"/>
            <w:r>
              <w:t xml:space="preserve">. </w:t>
            </w:r>
            <w:proofErr w:type="spellStart"/>
            <w:r>
              <w:t>Naprawiono</w:t>
            </w:r>
            <w:proofErr w:type="spellEnd"/>
            <w:r>
              <w:t xml:space="preserve"> 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brak</w:t>
            </w:r>
            <w:proofErr w:type="spellEnd"/>
            <w:r>
              <w:t xml:space="preserve"> </w:t>
            </w:r>
            <w:proofErr w:type="spellStart"/>
            <w:r>
              <w:t>natychmiastowej</w:t>
            </w:r>
            <w:proofErr w:type="spellEnd"/>
            <w:r>
              <w:t xml:space="preserve"> </w:t>
            </w:r>
            <w:proofErr w:type="spellStart"/>
            <w:r>
              <w:t>widoczności</w:t>
            </w:r>
            <w:proofErr w:type="spellEnd"/>
            <w:r>
              <w:t xml:space="preserve"> </w:t>
            </w:r>
            <w:proofErr w:type="spellStart"/>
            <w:r>
              <w:t>zmian</w:t>
            </w:r>
            <w:proofErr w:type="spellEnd"/>
            <w:r>
              <w:t xml:space="preserve">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(PGL </w:t>
            </w:r>
            <w:proofErr w:type="spellStart"/>
            <w:r>
              <w:t>bazowe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 EUR/PLN) w </w:t>
            </w:r>
            <w:proofErr w:type="spellStart"/>
            <w:r>
              <w:lastRenderedPageBreak/>
              <w:t>kalkulatorze</w:t>
            </w:r>
            <w:proofErr w:type="spellEnd"/>
            <w:r>
              <w:t xml:space="preserve"> bez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strony</w:t>
            </w:r>
            <w:proofErr w:type="spellEnd"/>
            <w:r>
              <w:t xml:space="preserve">, a PGL </w:t>
            </w:r>
            <w:proofErr w:type="spellStart"/>
            <w:r>
              <w:t>bazowe</w:t>
            </w:r>
            <w:proofErr w:type="spellEnd"/>
            <w:r>
              <w:t xml:space="preserve"> </w:t>
            </w:r>
            <w:proofErr w:type="spellStart"/>
            <w:r>
              <w:t>skonfigurowano</w:t>
            </w:r>
            <w:proofErr w:type="spellEnd"/>
            <w:r>
              <w:t xml:space="preserve"> </w:t>
            </w:r>
            <w:proofErr w:type="spellStart"/>
            <w:r>
              <w:t>osobno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typów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HRS, CR </w:t>
            </w:r>
            <w:proofErr w:type="spellStart"/>
            <w:r>
              <w:t>i</w:t>
            </w:r>
            <w:proofErr w:type="spellEnd"/>
            <w:r>
              <w:t xml:space="preserve"> HDG.</w:t>
            </w:r>
            <w:r>
              <w:t xml:space="preserve"> Cena końcowa oraz sumy wartości w kalkulatorze, na liście ofert i w PDF są od teraz zaokrąglane w górę do pełnej jednostki waluty - świadoma decyzja biznesowa, żeby nigdy nie zaniżyć ceny wobec klienta.</w:t>
            </w:r>
          </w:p>
        </w:tc>
      </w:tr>
      <w:tr w:rsidR="006F108A" w14:paraId="03F7EA5A" w14:textId="77777777">
        <w:tc>
          <w:tcPr>
            <w:tcW w:w="1226" w:type="dxa"/>
          </w:tcPr>
          <w:p w14:paraId="25C938FA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lastRenderedPageBreak/>
              <w:t>1.3</w:t>
            </w:r>
          </w:p>
        </w:tc>
        <w:tc>
          <w:tcPr>
            <w:tcW w:w="2481" w:type="dxa"/>
          </w:tcPr>
          <w:p w14:paraId="339B896A" w14:textId="77777777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70F382FE" w14:textId="77777777" w:rsidR="006F108A" w:rsidRDefault="008120C4">
            <w:r>
              <w:t>31</w:t>
            </w:r>
            <w:r w:rsidR="006F108A">
              <w:t>.0</w:t>
            </w:r>
            <w:r>
              <w:t>7</w:t>
            </w:r>
            <w:r w:rsidR="006F108A">
              <w:t>.2026</w:t>
            </w:r>
          </w:p>
        </w:tc>
        <w:tc>
          <w:tcPr>
            <w:tcW w:w="3581" w:type="dxa"/>
          </w:tcPr>
          <w:p w14:paraId="48F54229" w14:textId="77777777" w:rsidR="006F108A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obsługę</w:t>
            </w:r>
            <w:proofErr w:type="spellEnd"/>
            <w:r>
              <w:t xml:space="preserve"> </w:t>
            </w:r>
            <w:proofErr w:type="spellStart"/>
            <w:r>
              <w:t>zatwierdzania</w:t>
            </w:r>
            <w:proofErr w:type="spellEnd"/>
            <w:r>
              <w:t xml:space="preserve">, </w:t>
            </w:r>
            <w:proofErr w:type="spellStart"/>
            <w:r>
              <w:t>odrzucania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; </w:t>
            </w:r>
            <w:proofErr w:type="spellStart"/>
            <w:r>
              <w:t>wysyłka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zakładkami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; </w:t>
            </w:r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panel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kurs</w:t>
            </w:r>
            <w:proofErr w:type="spellEnd"/>
            <w:r>
              <w:t xml:space="preserve"> EUR/PLN, PGL </w:t>
            </w:r>
            <w:proofErr w:type="spellStart"/>
            <w:r>
              <w:t>bazowe</w:t>
            </w:r>
            <w:proofErr w:type="spellEnd"/>
            <w:r>
              <w:t xml:space="preserve">, transport </w:t>
            </w:r>
            <w:proofErr w:type="spellStart"/>
            <w:r>
              <w:t>bazowy</w:t>
            </w:r>
            <w:proofErr w:type="spellEnd"/>
            <w:r>
              <w:t xml:space="preserve">)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przełącznik</w:t>
            </w:r>
            <w:proofErr w:type="spellEnd"/>
            <w:r>
              <w:t xml:space="preserve"> </w:t>
            </w:r>
            <w:proofErr w:type="spellStart"/>
            <w:r>
              <w:t>waluty</w:t>
            </w:r>
            <w:proofErr w:type="spellEnd"/>
            <w:r>
              <w:t xml:space="preserve"> EURO/PLN w </w:t>
            </w:r>
            <w:proofErr w:type="spellStart"/>
            <w:r>
              <w:t>kalkulatorze</w:t>
            </w:r>
            <w:proofErr w:type="spellEnd"/>
            <w:r>
              <w:t xml:space="preserve">; </w:t>
            </w:r>
            <w:proofErr w:type="spellStart"/>
            <w:r>
              <w:t>oferta</w:t>
            </w:r>
            <w:proofErr w:type="spellEnd"/>
            <w:r>
              <w:t xml:space="preserve"> </w:t>
            </w:r>
            <w:proofErr w:type="spellStart"/>
            <w:r>
              <w:t>zapamiętuje</w:t>
            </w:r>
            <w:proofErr w:type="spellEnd"/>
            <w:r>
              <w:t xml:space="preserve"> </w:t>
            </w:r>
            <w:proofErr w:type="spellStart"/>
            <w:r>
              <w:t>walutę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kurs</w:t>
            </w:r>
            <w:proofErr w:type="spellEnd"/>
            <w:r>
              <w:t xml:space="preserve"> z </w:t>
            </w:r>
            <w:proofErr w:type="spellStart"/>
            <w:r>
              <w:t>dnia</w:t>
            </w:r>
            <w:proofErr w:type="spellEnd"/>
            <w:r>
              <w:t xml:space="preserve"> </w:t>
            </w:r>
            <w:proofErr w:type="spellStart"/>
            <w:r>
              <w:t>wyceny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trwałe</w:t>
            </w:r>
            <w:proofErr w:type="spellEnd"/>
            <w:r>
              <w:t xml:space="preserve">, </w:t>
            </w:r>
            <w:proofErr w:type="spellStart"/>
            <w:r>
              <w:t>unikalne</w:t>
            </w:r>
            <w:proofErr w:type="spellEnd"/>
            <w:r>
              <w:t xml:space="preserve"> </w:t>
            </w:r>
            <w:proofErr w:type="spellStart"/>
            <w:r>
              <w:t>numery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automatyczną</w:t>
            </w:r>
            <w:proofErr w:type="spellEnd"/>
            <w:r>
              <w:t xml:space="preserve"> </w:t>
            </w:r>
            <w:proofErr w:type="spellStart"/>
            <w:r>
              <w:t>nazwą</w:t>
            </w:r>
            <w:proofErr w:type="spellEnd"/>
            <w:r>
              <w:t xml:space="preserve"> </w:t>
            </w:r>
            <w:proofErr w:type="spellStart"/>
            <w:r>
              <w:t>zastępczą</w:t>
            </w:r>
            <w:proofErr w:type="spellEnd"/>
            <w:r>
              <w:t xml:space="preserve"> „offer_&lt;</w:t>
            </w:r>
            <w:proofErr w:type="spellStart"/>
            <w:r>
              <w:t>numer</w:t>
            </w:r>
            <w:proofErr w:type="spellEnd"/>
            <w:r>
              <w:t xml:space="preserve">&gt;”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bez </w:t>
            </w:r>
            <w:proofErr w:type="spellStart"/>
            <w:r>
              <w:t>tytułu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wyszukiwarkę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(po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 </w:t>
            </w:r>
            <w:proofErr w:type="spellStart"/>
            <w:r>
              <w:t>zastępczej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numerze</w:t>
            </w:r>
            <w:proofErr w:type="spellEnd"/>
            <w:r>
              <w:t xml:space="preserve">); </w:t>
            </w:r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zrównane</w:t>
            </w:r>
            <w:proofErr w:type="spellEnd"/>
            <w:r>
              <w:t xml:space="preserve"> ze </w:t>
            </w:r>
            <w:proofErr w:type="spellStart"/>
            <w:r>
              <w:t>starszym</w:t>
            </w:r>
            <w:proofErr w:type="spellEnd"/>
            <w:r>
              <w:t xml:space="preserve"> </w:t>
            </w:r>
            <w:proofErr w:type="spellStart"/>
            <w:r>
              <w:t>handlowcem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własnych</w:t>
            </w:r>
            <w:proofErr w:type="spellEnd"/>
            <w:r>
              <w:t xml:space="preserve"> </w:t>
            </w:r>
            <w:proofErr w:type="spellStart"/>
            <w:r>
              <w:t>ofertach</w:t>
            </w:r>
            <w:proofErr w:type="spellEnd"/>
            <w:r>
              <w:t>.</w:t>
            </w:r>
          </w:p>
        </w:tc>
      </w:tr>
      <w:tr w:rsidR="00404AB3" w14:paraId="23AD1D18" w14:textId="77777777">
        <w:tc>
          <w:tcPr>
            <w:tcW w:w="1226" w:type="dxa"/>
          </w:tcPr>
          <w:p w14:paraId="58E62ECC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119E397B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7E0FD056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3FB87D56" w14:textId="77777777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53F645AC" w14:textId="77777777" w:rsidTr="006F108A">
        <w:tc>
          <w:tcPr>
            <w:tcW w:w="1226" w:type="dxa"/>
          </w:tcPr>
          <w:p w14:paraId="4341D4D2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4F8E517B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21D8C9AE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14BDE491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1936FF96" w14:textId="77777777" w:rsidTr="006F108A">
        <w:tc>
          <w:tcPr>
            <w:tcW w:w="1226" w:type="dxa"/>
          </w:tcPr>
          <w:p w14:paraId="29DBBDC3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6E0BB95B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52D2B7E4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78E58BF4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6DF7DF5A" w14:textId="77777777" w:rsidR="00BA4AAF" w:rsidRDefault="00BA4AAF"/>
    <w:p w14:paraId="594072EF" w14:textId="77777777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1.5</w:t>
      </w:r>
    </w:p>
    <w:p w14:paraId="6CEFF71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CE80BCB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57957AB0" w14:textId="77777777" w:rsidTr="000B5C5B">
        <w:tc>
          <w:tcPr>
            <w:tcW w:w="1948" w:type="dxa"/>
            <w:shd w:val="clear" w:color="auto" w:fill="EEF2F8"/>
          </w:tcPr>
          <w:p w14:paraId="7D19591D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507C9CB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>
        <w:tc>
          <w:tcPr>
            <w:tcW w:type="dxa" w:w="1948"/>
          </w:tcPr>
          <w:p>
            <w:r>
              <w:t>Poprawka błędu</w:t>
            </w:r>
          </w:p>
        </w:tc>
        <w:tc>
          <w:tcPr>
            <w:tcW w:type="dxa" w:w="6908"/>
          </w:tcPr>
          <w:p>
            <w:r>
              <w:t>Dane osoby kontaktowej wpisane bezpośrednio w formularzu klienta (panel „Klienci”) nie trafiały do wspólnej tabeli osób kontaktowych - kontakt zapisany przy firmie nie pojawiał się w zakładce „Kontakty” i nie był widoczny dla pozostałych handlowców. Zapis i edycja klienta synchronizują teraz kontakt główny z tą tabelą w tej samej transakcji; dodano migrację uzupełniającą kontakty zapisane między poprzednią migracją a wdrożeniem tej poprawki.</w:t>
            </w:r>
          </w:p>
        </w:tc>
      </w:tr>
      <w:tr>
        <w:tc>
          <w:tcPr>
            <w:tcW w:type="dxa" w:w="1948"/>
          </w:tcPr>
          <w:p>
            <w:r>
              <w:t>Nowa funkcja</w:t>
            </w:r>
          </w:p>
        </w:tc>
        <w:tc>
          <w:tcPr>
            <w:tcW w:type="dxa" w:w="6908"/>
          </w:tcPr>
          <w:p>
            <w:r>
              <w:t>Panel „Klienci” zyskał akcję „Kontakty” przy każdej firmie - rozwija listę zapisanych dla niej osób z możliwością edycji i usunięcia każdej z osobna oraz formularzem dodania kolejnej, bez przechodzenia do zakładki „Kontakty”. Dodano też endpoint pozwalający administratorowi utworzyć nowy kontakt wprost z tego panelu.</w:t>
            </w:r>
          </w:p>
        </w:tc>
      </w:tr>
      <w:tr>
        <w:tc>
          <w:tcPr>
            <w:tcW w:type="dxa" w:w="1948"/>
          </w:tcPr>
          <w:p>
            <w:r>
              <w:t>Nowa funkcja</w:t>
            </w:r>
          </w:p>
        </w:tc>
        <w:tc>
          <w:tcPr>
            <w:tcW w:type="dxa" w:w="6908"/>
          </w:tcPr>
          <w:p>
            <w:r>
              <w:t>Historia zmian cen bazowych PGL — panel ustawień administratora zapisuje teraz każdą zmianę ceny bazowej PGL osobno dla typu stali (HRS/CR/HDG): kto, kiedy i z jakiej wartości na jaką. Historia widoczna wyłącznie dla administratora, z możliwością pobrania jako plik Excel (.xlsx). Typy stali w tabeli historii oraz w samym panelu konfiguracji oznaczone kolorem (HRS pomarańczowy, CR niebieski, HDG zielony) dla szybszej orientacji.</w:t>
            </w:r>
          </w:p>
        </w:tc>
      </w:tr>
      <w:tr>
        <w:tc>
          <w:tcPr>
            <w:tcW w:type="dxa" w:w="1948"/>
          </w:tcPr>
          <w:p>
            <w:r>
              <w:t>Nowa funkcja</w:t>
            </w:r>
          </w:p>
        </w:tc>
        <w:tc>
          <w:tcPr>
            <w:tcW w:type="dxa" w:w="6908"/>
          </w:tcPr>
          <w:p>
            <w:r>
              <w:t>Pulpit administratora — kafelki liczby ofert wg statusu (szkic / do weryfikacji / zatwierdzona / odrzucona / wysłana), liczba aktywnych handlowców oraz łączna liczba ofert są teraz klikalne i przenoszą od razu do listy ofert przefiltrowanej po wybranym statusie (lub do panelu handlowców).</w:t>
            </w:r>
          </w:p>
        </w:tc>
      </w:tr>
    </w:tbl>
    <w:p w14:paraId="5CA7261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36C6240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0097A939" w14:textId="77777777" w:rsidTr="006F108A">
        <w:tc>
          <w:tcPr>
            <w:tcW w:w="1967" w:type="dxa"/>
            <w:shd w:val="clear" w:color="auto" w:fill="EEF2F8"/>
          </w:tcPr>
          <w:p w14:paraId="4001F656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265406D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>
        <w:tc>
          <w:tcPr>
            <w:tcW w:type="dxa" w:w="1948"/>
          </w:tcPr>
          <w:p>
            <w:r>
              <w:t>Nowa funkcja</w:t>
            </w:r>
          </w:p>
        </w:tc>
        <w:tc>
          <w:tcPr>
            <w:tcW w:type="dxa" w:w="6908"/>
          </w:tcPr>
          <w:p>
            <w:r>
              <w:t>W tabeli zestawienia w kalkulatorze kliknięcie w dowolnym miejscu wiersza pozycji (poza przyciskami akcji) otwiera ją teraz do edycji — dotychczas trzeba było trafić dokładnie w mały przycisk ołówka. Przyciski duplikowania i usuwania pozycji działają bez zmian.</w:t>
            </w:r>
          </w:p>
        </w:tc>
      </w:tr>
    </w:tbl>
    <w:p w14:paraId="42AF10A7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511EC0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7"/>
        <w:gridCol w:w="6909"/>
      </w:tblGrid>
      <w:tr w:rsidR="00BA4AAF" w14:paraId="3DE999BC" w14:textId="77777777">
        <w:tc>
          <w:tcPr>
            <w:tcW w:w="1984" w:type="dxa"/>
            <w:shd w:val="clear" w:color="auto" w:fill="EEF2F8"/>
          </w:tcPr>
          <w:p w14:paraId="23D04118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075E0B7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>
        <w:tc>
          <w:tcPr>
            <w:tcW w:type="dxa" w:w="1948"/>
          </w:tcPr>
          <w:p>
            <w:r>
              <w:t>—</w:t>
            </w:r>
          </w:p>
        </w:tc>
        <w:tc>
          <w:tcPr>
            <w:tcW w:type="dxa" w:w="6908"/>
          </w:tcPr>
          <w:p>
            <w:r>
              <w:t>Brak zmian w tym okresie.</w:t>
            </w:r>
          </w:p>
        </w:tc>
      </w:tr>
    </w:tbl>
    <w:p w14:paraId="1717008A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687C74B7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5"/>
        <w:gridCol w:w="6901"/>
      </w:tblGrid>
      <w:tr w:rsidR="00BA4AAF" w14:paraId="1974E75B" w14:textId="77777777">
        <w:tc>
          <w:tcPr>
            <w:tcW w:w="1984" w:type="dxa"/>
            <w:shd w:val="clear" w:color="auto" w:fill="EEF2F8"/>
          </w:tcPr>
          <w:p w14:paraId="09966E5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6B14D67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>
        <w:tc>
          <w:tcPr>
            <w:tcW w:type="dxa" w:w="1948"/>
          </w:tcPr>
          <w:p>
            <w:r>
              <w:t>—</w:t>
            </w:r>
          </w:p>
        </w:tc>
        <w:tc>
          <w:tcPr>
            <w:tcW w:type="dxa" w:w="6908"/>
          </w:tcPr>
          <w:p>
            <w:r>
              <w:t>Brak zmian w tym okresie.</w:t>
            </w:r>
          </w:p>
        </w:tc>
      </w:tr>
    </w:tbl>
    <w:p w14:paraId="74E036D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58A5AE2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4DC2BB50" w14:textId="77777777" w:rsidTr="00892060">
        <w:tc>
          <w:tcPr>
            <w:tcW w:w="1963" w:type="dxa"/>
            <w:shd w:val="clear" w:color="auto" w:fill="EEF2F8"/>
          </w:tcPr>
          <w:p w14:paraId="6717D1C8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17D7D2E8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>
        <w:tc>
          <w:tcPr>
            <w:tcW w:type="dxa" w:w="1963"/>
          </w:tcPr>
          <w:p>
            <w:r>
              <w:t>Nowa funkcja</w:t>
            </w:r>
          </w:p>
        </w:tc>
        <w:tc>
          <w:tcPr>
            <w:tcW w:type="dxa" w:w="6893"/>
          </w:tcPr>
          <w:p>
            <w:r>
              <w:t>Tryb „Wysoki kontrast” - osobny przycisk obok przełącznika Jasny/Ciemny, dostępny na kalkulatorze, liście ofert, w panelu seniora i w panelu administratora. Jeden, stały wygląd (czarny tekst i obramowania na białym tle) niezależny od wybranego motywu jasny/ciemny - pogrubiona czcionka, grubsze obramowania i powiększony tekst z myślą o handlowcach pracujących na starszym sprzęcie (np. ekrany 800x600). Wybór zapamiętywany w przeglądarce, tak samo jak motyw jasny/ciemny.</w:t>
            </w:r>
          </w:p>
        </w:tc>
      </w:tr>
    </w:tbl>
    <w:p w14:paraId="07813280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27B1366" w14:textId="77777777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-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46A3DAB0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-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17097958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6180E28F" w14:textId="77777777" w:rsidR="008C3B75" w:rsidRDefault="006F108A" w:rsidP="008C3B75">
      <w:pPr>
        <w:pStyle w:val="Listapunktowana"/>
      </w:pPr>
      <w:proofErr w:type="spellStart"/>
      <w:r>
        <w:lastRenderedPageBreak/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-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6180E28F" w14:textId="77777777" w:rsidR="008C3B75" w:rsidRDefault="006F108A" w:rsidP="008C3B75">
      <w:pPr>
        <w:pStyle w:val="Listapunktowana"/>
      </w:pPr>
      <w:proofErr w:type="spellStart"/>
      <w:r>
        <w:t>Migracja historii zmian cen PGL bazowego (013) nie została jeszcze uruchomiona na środowisku produkcyjnym — na razie działa tylko lokalnie.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1FA7F9F" w14:textId="77777777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61FED133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7E0156E9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1470203C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2C914D61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2C914D61" w14:textId="77777777" w:rsidR="008C3B75" w:rsidRDefault="008C3B75" w:rsidP="008C3B75">
      <w:pPr>
        <w:pStyle w:val="Listapunktowana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Uruchomić migrację dosynchronizowującą kontakty na środowisku produkcyjnym (katalog klientów) i zweryfikować liczbę brakujących wierszy przed commitem na 0.</w:t>
      </w:r>
    </w:p>
    <w:p w14:paraId="2C914D61" w14:textId="77777777" w:rsidR="008C3B75" w:rsidRDefault="008C3B75" w:rsidP="008C3B75">
      <w:pPr>
        <w:pStyle w:val="Listapunktowana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Ręczne testy nowego przepływu Klienci -&gt; Kontakty w przeglądarce: rozwinięcie firmy, dodanie, edycja i usunięcie osoby kontaktowej, potwierdzenie że kontakt pojawia się w zakładce „Kontakty”.</w:t>
      </w:r>
    </w:p>
    <w:p w14:paraId="2C914D61" w14:textId="77777777" w:rsidR="008C3B75" w:rsidRDefault="008C3B75" w:rsidP="008C3B75">
      <w:pPr>
        <w:pStyle w:val="Listapunktowana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Uruchomić migrację historii cen PGL bazowego (013) na środowisku produkcyjnym przy najbliższym wdrożeniu.</w:t>
      </w:r>
    </w:p>
    <w:p w14:paraId="5D5242D3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7DBF13A8" w14:textId="77777777">
        <w:tc>
          <w:tcPr>
            <w:tcW w:w="4320" w:type="dxa"/>
          </w:tcPr>
          <w:p w14:paraId="37DA8885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55B4376C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266203AD" w14:textId="77777777" w:rsidR="00F369F9" w:rsidRDefault="00F369F9"/>
    <w:sectPr w:rsidR="00F369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10F4" w14:textId="77777777" w:rsidR="00170FC6" w:rsidRDefault="00170FC6">
      <w:pPr>
        <w:spacing w:after="0" w:line="240" w:lineRule="auto"/>
      </w:pPr>
      <w:r>
        <w:separator/>
      </w:r>
    </w:p>
  </w:endnote>
  <w:endnote w:type="continuationSeparator" w:id="0">
    <w:p w14:paraId="5F7A8E79" w14:textId="77777777" w:rsidR="00170FC6" w:rsidRDefault="0017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0061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-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A409" w14:textId="77777777" w:rsidR="00170FC6" w:rsidRDefault="00170FC6">
      <w:pPr>
        <w:spacing w:after="0" w:line="240" w:lineRule="auto"/>
      </w:pPr>
      <w:r>
        <w:separator/>
      </w:r>
    </w:p>
  </w:footnote>
  <w:footnote w:type="continuationSeparator" w:id="0">
    <w:p w14:paraId="437617E6" w14:textId="77777777" w:rsidR="00170FC6" w:rsidRDefault="0017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5E66" w14:textId="77777777" w:rsidR="00F6747C" w:rsidRDefault="00F67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6063C"/>
    <w:rsid w:val="000B5C5B"/>
    <w:rsid w:val="000B7752"/>
    <w:rsid w:val="000E149A"/>
    <w:rsid w:val="001307A8"/>
    <w:rsid w:val="00144CCC"/>
    <w:rsid w:val="0015074B"/>
    <w:rsid w:val="00157706"/>
    <w:rsid w:val="00170FC6"/>
    <w:rsid w:val="00250F91"/>
    <w:rsid w:val="0029639D"/>
    <w:rsid w:val="002A1D78"/>
    <w:rsid w:val="002B7A05"/>
    <w:rsid w:val="002D2E3D"/>
    <w:rsid w:val="002E60D7"/>
    <w:rsid w:val="00326F90"/>
    <w:rsid w:val="00350740"/>
    <w:rsid w:val="00391B47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451FD"/>
    <w:rsid w:val="00753524"/>
    <w:rsid w:val="007572B3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302B7"/>
    <w:rsid w:val="00C62E5A"/>
    <w:rsid w:val="00CB0664"/>
    <w:rsid w:val="00D03A63"/>
    <w:rsid w:val="00D21B55"/>
    <w:rsid w:val="00D22FBE"/>
    <w:rsid w:val="00D2414B"/>
    <w:rsid w:val="00D7535D"/>
    <w:rsid w:val="00DF74C1"/>
    <w:rsid w:val="00EF3709"/>
    <w:rsid w:val="00F05F0C"/>
    <w:rsid w:val="00F3442E"/>
    <w:rsid w:val="00F369F9"/>
    <w:rsid w:val="00F67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8A482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1199</Words>
  <Characters>7199</Characters>
  <Application>Microsoft Office Word</Application>
  <DocSecurity>0</DocSecurity>
  <Lines>59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14</cp:revision>
  <dcterms:created xsi:type="dcterms:W3CDTF">2026-07-08T11:11:00Z</dcterms:created>
  <dcterms:modified xsi:type="dcterms:W3CDTF">2026-08-04T06:03:00Z</dcterms:modified>
  <cp:category/>
</cp:coreProperties>
</file>