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2.1</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7101CF7A" w:rsidR="00BA4AAF" w:rsidRDefault="00F316DB">
            <w:r>
              <w:t>1</w:t>
            </w:r>
            <w:r w:rsidR="00182A87">
              <w:t>3</w:t>
            </w:r>
            <w:r>
              <w:t xml:space="preserve">.10.2026 -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BA4AAF"/>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2.1</w:t>
            </w:r>
          </w:p>
        </w:tc>
        <w:tc>
          <w:tcPr>
            <w:tcW w:w="2420" w:type="dxa"/>
          </w:tcPr>
          <w:p w14:paraId="3408EBC3" w14:textId="6942E1BB" w:rsidR="00DF56CB" w:rsidRDefault="00F316DB">
            <w:r>
              <w:t>1</w:t>
            </w:r>
            <w:r w:rsidR="00182A87">
              <w:t>3</w:t>
            </w:r>
            <w:r>
              <w:t xml:space="preserve">.10.2026 - </w:t>
            </w:r>
          </w:p>
        </w:tc>
        <w:tc>
          <w:tcPr>
            <w:tcW w:w="1550" w:type="dxa"/>
          </w:tcPr>
          <w:p w14:paraId="55495847" w14:textId="542D1DA6" w:rsidR="00DF56CB" w:rsidRDefault="00DF56CB"/>
        </w:tc>
        <w:tc>
          <w:tcPr>
            <w:tcW w:w="3678" w:type="dxa"/>
          </w:tcPr>
          <w:p w14:paraId="79CC7DB9" w14:textId="2291F9DF" w:rsidR="00DF56CB" w:rsidRDefault="00DF56CB">
            <w:r>
              <w:t>Podgląd pozycji oferty w panelu Administratora oraz kolumny PGL i marża (€/t i %) we wszystkich tabelach pozycji. Podsumowanie zmian między wersjami oferty: krótka etykieta z najważniejszymi zmianami przy każdej wersji, po kliknięciu pełna lista stara → nowa wartość z autorem wersji (nowa kolumna offers.created_by, migracja 033). Nowe szablony oferty PDF zgodne z identyfikacją wizualną ArcelorMittal (11 wariantów do wyboru) oraz 11 wariantów brandingu całej aplikacji. Ważność oferty jako przyciski 24h (domyślnie), 48h lub niestandardowa liczba godzin zamiast wyboru terminu płatności; termin płatności pobierany z ustawień klienta (domyślnie 30 dni od otrzymania faktury, migracja 034), okres ważności oferty bez zmian. Reguła akceptacji „ważność oferty &gt; 48h” (Flow 1 N+2, Flow 2 Head of Projects) liczona z wybranych godzin, a nie z terminu płatności.</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w:t>
            </w:r>
            <w:r>
              <w:lastRenderedPageBreak/>
              <w:t>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w:t>
            </w:r>
            <w:r>
              <w:lastRenderedPageBreak/>
              <w:t>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w:t>
            </w:r>
            <w:r>
              <w:lastRenderedPageBreak/>
              <w:t>(handlowiec/typ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w:t>
            </w:r>
            <w:r>
              <w:t xml:space="preserve">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w:t>
            </w:r>
            <w:r>
              <w:t xml:space="preserve">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w:t>
            </w:r>
            <w:r>
              <w:lastRenderedPageBreak/>
              <w:t>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t>
            </w:r>
            <w:r>
              <w:t>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w:t>
            </w:r>
            <w:r>
              <w:lastRenderedPageBreak/>
              <w:t xml:space="preserve">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w:t>
            </w:r>
            <w:r>
              <w:lastRenderedPageBreak/>
              <w:t>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w:t>
            </w:r>
            <w:r>
              <w:lastRenderedPageBreak/>
              <w:t>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w:t>
            </w:r>
            <w:r>
              <w:lastRenderedPageBreak/>
              <w:t>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2.1</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Zmiana</w:t>
            </w:r>
          </w:p>
        </w:tc>
        <w:tc>
          <w:tcPr>
            <w:tcW w:w="6908" w:type="dxa"/>
          </w:tcPr>
          <w:p w14:paraId="49A40330" w14:textId="77777777" w:rsidR="00F95910" w:rsidRDefault="00000000">
            <w:r>
              <w:t>Autor każdej wersji oferty: nowa kolumna offers.created_by (migracja 033_offer_version_author.sql). Zapis nowej oferty, kopii i każdej edycji zapamiętuje, kto ją wykonał - dotąd edycja recenzenta zapisywała się pod właścicielem oferty i autor zmiany ginął. Wersje sprzed migracji nie mają autora. Wdrożenie: migrację 033 uruchomić PRZED wdrożeniem kodu (bez niej listy ofert i zapis zwracają błąd).</w:t>
            </w:r>
          </w:p>
        </w:tc>
      </w:tr>
      <w:tr w:rsidR="00F95910" w14:paraId="341B2E31" w14:textId="77777777">
        <w:tc>
          <w:tcPr>
            <w:tcW w:w="1948" w:type="dxa"/>
          </w:tcPr>
          <w:p w14:paraId="177DA15C" w14:textId="77777777" w:rsidR="00F95910" w:rsidRDefault="00000000">
            <w:r>
              <w:t>Zmiana</w:t>
            </w:r>
          </w:p>
        </w:tc>
        <w:tc>
          <w:tcPr>
            <w:tcW w:w="6908" w:type="dxa"/>
          </w:tcPr>
          <w:p w14:paraId="49A40330" w14:textId="77777777" w:rsidR="00F95910" w:rsidRDefault="00000000">
            <w:r>
              <w:t>Domyślny termin płatności zmieniony z 7 na 30 dni (migracja 034_payment_term_default_30.sql - do uruchomienia przy wdrożeniu 2.1, bezpieczna w dowolnej kolejności względem kodu). Usunięto preset „2 dni” z wyboru terminu płatności klienta.</w:t>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r>
              <w:t>Zmiana</w:t>
            </w:r>
          </w:p>
        </w:tc>
        <w:tc>
          <w:tcPr>
            <w:tcW w:w="6908" w:type="dxa"/>
          </w:tcPr>
          <w:p w14:paraId="723BBF99" w14:textId="77777777" w:rsidR="00F95910" w:rsidRDefault="00F95910">
            <w:r>
              <w:t>Ważność oferty zamiast terminu płatności w kalkulatorze: w miejscu wyboru terminu płatności są przyciski „Ważność oferty” 24h (domyślnie), 48h oraz Niestandardowy (dowolna liczba godzin). Termin płatności nie jest już wybierany przy ofercie - kalkulator tylko go wyświetla („Termin płatności: 30 dni od otrzymania faktury”) i pobiera z ustawień klienta (panel Klienci / panel Starszego handlowca), a gdy klient nie ma własnego terminu - z domyślnego w Ustawieniach (30 dni). Okres ważności oferty (Ważna od / do) bez zmian. Reguła akceptacji „ważność oferty &gt; 48h” liczona jest teraz z wybranych godzin, a nie z terminu płatności × 24 (wcześniej termin 30 dni dawał 720h i zawsze wymagał akceptacji N+2); zapisane wcześniej oferty zachowują dotychczasowe wyliczenie.</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8"/>
        <w:gridCol w:w="6908"/>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Nowa funkcja</w:t>
            </w:r>
          </w:p>
        </w:tc>
        <w:tc>
          <w:tcPr>
            <w:tcW w:w="6908" w:type="dxa"/>
          </w:tcPr>
          <w:p w14:paraId="49A40330" w14:textId="77777777" w:rsidR="00F95910" w:rsidRDefault="00000000">
            <w:r>
              <w:t>Podgląd pozycji oferty w panelu Administratora (Oferty): pod numerem oferty przycisk „📦 N pozycji” rozwija pod wierszem tabelę pozycji (gatunek / wymiary, typ, cena, tonaż, wartość) - tak jak w Moich ofertach i panelu Starszego handlowca. Do wszystkich trzech tabel pozycji (Moje oferty, Starszy handlowiec, Administrator) dodano kolumny PGL (€/t) oraz Marża (€/t i %). Kwoty pokazywane są w walucie i po kursie zapisanym w ofercie; dla starszych pozycji bez zapisanego % marży procent wyliczany jest jak w kalkulatorze: marża / (PGL + dopłaty huty). Trzy dotąd skopiowane tabele zastąpiono jednym wspólnym komponentem.</w:t>
            </w:r>
          </w:p>
        </w:tc>
      </w:tr>
      <w:tr w:rsidR="00F95910" w14:paraId="341B2E31" w14:textId="77777777">
        <w:tc>
          <w:tcPr>
            <w:tcW w:w="1948" w:type="dxa"/>
          </w:tcPr>
          <w:p w14:paraId="177DA15C" w14:textId="77777777" w:rsidR="00F95910" w:rsidRDefault="00000000">
            <w:r>
              <w:t>Nowa funkcja</w:t>
            </w:r>
          </w:p>
        </w:tc>
        <w:tc>
          <w:tcPr>
            <w:tcW w:w="6908" w:type="dxa"/>
          </w:tcPr>
          <w:p w14:paraId="49A40330" w14:textId="77777777" w:rsidR="00F95910" w:rsidRDefault="00000000">
            <w:r>
              <w:t>Podsumowanie zmian między wersjami oferty (Moje oferty, Oferty w panelu Administratora, Weryfikacja). Przy numerze każdej wersji (offer_X.N) - także najnowszej - krótka etykieta z maks. 3 najważniejszymi zmianami, np. „HDG 2×1250 +5 t, Wartość oferty +6 082 €” (kolejność: pozycje i tonaż &gt; marża &gt; wartość oferty &gt; reszta, pozostałe jako „+N więcej”); pierwsza wersja: „bazowa · N poz. · X t”. Kliknięcie rozwija pełną listę stara → nowa wartość: dodane/usunięte pozycje, tonaż, marża w punktach procentowych, cena końcowa, transport i dopłaty, trasa, termin płatności, ważność, waluta i kurs, dane klienta, nazwa oferty - oraz autora wersji i zdarzenie: edycja, edycja przez recenzenta, renegocjacja po przegranej. Kierunek zmian ceny jest oznaczony kolorem: wzrost marży, ceny końcowej lub wartości oferty - zielona strzałka ▲, spadek - czerwona ▼ (tonaż i warunki bez koloru). Zmiany samego formularza kalkulatora (bez wpływu na ofertę) są pomijane. Przykład: recenzent podnosi marżę 8% → 9,5% (+1,5 pp) przy 15 t i bazie 1 080 €/t (PGL 1 000 + huta 80) - cena końcowa 1 217 → 1 233 €/t (+16 €/t), wartość oferty 18 246 € → 18 489 € (+243 €).</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r>
              <w:t>Zmiana</w:t>
            </w:r>
          </w:p>
        </w:tc>
        <w:tc>
          <w:tcPr>
            <w:tcW w:w="6908" w:type="dxa"/>
          </w:tcPr>
          <w:p w14:paraId="3B25A63C" w14:textId="77777777" w:rsidR="00F95910" w:rsidRDefault="00F95910">
            <w:r>
              <w:t>Nowe szablony oferty PDF zgodne z identyfikacją wizualną ArcelorMittal (uwagi Karoliny Cisowskiej z 05.10.2026): przygotowano 11 wariantów układu (pionowe i poziome, folder „Szablony PDF/Template 1-11”), każdy w dwóch wersjach - oferta 2-pozycyjna oraz 9-pozycyjna. We wszystkich logo ArcelorMittal w kolorze, z nazwą spółki, w prawym górnym rogu, font Gilroy (osadzony w PDF) i kolorystyka AM (pomarańcz #FF3700, grafit #414141, gradient marki). Nazwa spółki to „ArcelorMittal” - narzędzie jest planowane globalnie. Treść oferty bez zmian (te same kolumny, warunki i podpisy); zmienia się tylko wygląd. Szablony wysłane do akceptacji - po wyborze wariantu zostanie on przeniesiony do generatora PDF w aplikacji.</w:t>
            </w:r>
          </w:p>
        </w:tc>
      </w:tr>
      <w:tr w:rsidR="00F95910" w14:paraId="2E672F3A" w14:textId="77777777">
        <w:tc>
          <w:tcPr>
            <w:tcW w:w="1948" w:type="dxa"/>
          </w:tcPr>
          <w:p w14:paraId="11C7DAE8" w14:textId="77777777" w:rsidR="00F95910" w:rsidRDefault="00F95910">
            <w:r>
              <w:t>Zmiana</w:t>
            </w:r>
          </w:p>
        </w:tc>
        <w:tc>
          <w:tcPr>
            <w:tcW w:w="6908" w:type="dxa"/>
          </w:tcPr>
          <w:p w14:paraId="3B25A63C" w14:textId="77777777" w:rsidR="00F95910" w:rsidRDefault="00F95910">
            <w:r>
              <w:t>Stopka oferty PDF: „Ważność oferty: 24h / 48h / Nh od daty wystawienia” zgodnie z wyborem w kalkulatorze oraz „Termin płatności: N dni od otrzymania faktury.” z terminu klienta (PL/EN/CS/DE). Linijka okresu ważności oferty (od - do) bez zmian.</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r>
              <w:t>Zmiana</w:t>
            </w:r>
          </w:p>
        </w:tc>
        <w:tc>
          <w:tcPr>
            <w:tcW w:w="6908" w:type="dxa"/>
          </w:tcPr>
          <w:p w14:paraId="526C62DC" w14:textId="77777777" w:rsidR="00F95910" w:rsidRDefault="00F95910">
            <w:r>
              <w:t>Warianty brandingu całej aplikacji zgodne z identyfikacją wizualną ArcelorMittal (kontynuacja uwag Karoliny Cisowskiej z 05.10.2026, tym razem dla całego serwisu, nie tylko PDF): przygotowano 11 wariantów motywu do wyboru (folder „Branding - warianty”) obok obecnego wyglądu (V0): V1 Classic Light i V1 Classic Dark (ciepła biel / ciemny, oficjalne kolory logo, cienki pasek gradientu), V2 Gradient Header (pełny gradient AM w pasku aplikacji), V3 Midnight (ciemny grafit, gradient tylko na przyciskach i aktywnych elementach), V4 Plum Executive (fiolet, nawigacja w formie pigułek), V5 Steel Industrial (grafit i stal, ostre rogi, pomarańczowy akcent), V6 Aurora Light (pastelowy gradient AM za matowymi kartami), V7 Swiss Mono (biel i czerń, kolor marki tylko w logo i przycisku głównym), V8 Ember Dark (prawie czarne tło z gradientem w pasku), V9 Warm Sand (kremowy, ciepły pomarańcz) i V10 Magenta Bold (magentowy pasek nagłówka). Każdy wariant pokazany na czterech ekranach (logowanie, kalkulator, oferty, analityka) w widoku komputerowym i telefonicznym, wraz z zestawieniem zbiorczym (00-przeglad-wszystkich.png) i osobnym plikiem CSS na wariant. We wszystkich logo ArcelorMittal w prawym górnym rogu (wersja kolorowa lub biała, zależnie od tła). Funkcjonalność aplikacji bez zmian - zmienia się wyłącznie wygląd. Warianty wysłane do wyboru przez Łukasza - po decyzji wybrany motyw zostanie wdrożony w aplikacji.</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lastRenderedPageBreak/>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r>
        <w:t>Po akceptacji brandingu i wyborze jednego z 11 szablonów PDF: przeniesienie go do generatora PDF w aplikacji (4 języki oferty). Po wyborze jednego z 11 wariantów motywu całej strony: wdrożenie go w aplikacji (jasny / ciemny, wysoki kontrast, widok telefonu).</w:t>
      </w: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7360C" w14:textId="77777777" w:rsidR="00216AF4" w:rsidRDefault="00216AF4">
      <w:pPr>
        <w:spacing w:after="0" w:line="240" w:lineRule="auto"/>
      </w:pPr>
      <w:r>
        <w:separator/>
      </w:r>
    </w:p>
  </w:endnote>
  <w:endnote w:type="continuationSeparator" w:id="0">
    <w:p w14:paraId="729059CA" w14:textId="77777777" w:rsidR="00216AF4" w:rsidRDefault="00216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FC183" w14:textId="77777777" w:rsidR="00216AF4" w:rsidRDefault="00216AF4">
      <w:pPr>
        <w:spacing w:after="0" w:line="240" w:lineRule="auto"/>
      </w:pPr>
      <w:r>
        <w:separator/>
      </w:r>
    </w:p>
  </w:footnote>
  <w:footnote w:type="continuationSeparator" w:id="0">
    <w:p w14:paraId="1BA9D26C" w14:textId="77777777" w:rsidR="00216AF4" w:rsidRDefault="00216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15</Pages>
  <Words>3344</Words>
  <Characters>20067</Characters>
  <Application>Microsoft Office Word</Application>
  <DocSecurity>0</DocSecurity>
  <Lines>167</Lines>
  <Paragraphs>46</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38</cp:revision>
  <dcterms:created xsi:type="dcterms:W3CDTF">2026-07-08T11:11:00Z</dcterms:created>
  <dcterms:modified xsi:type="dcterms:W3CDTF">2026-10-13T07:13:00Z</dcterms:modified>
  <cp:category/>
</cp:coreProperties>
</file>