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1.9</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2D43E2A6" w:rsidR="00BA4AAF" w:rsidRDefault="00F316DB">
            <w:r>
              <w:t>21</w:t>
            </w:r>
            <w:r w:rsidR="002F24E4">
              <w:t xml:space="preserve">.09.2026 - </w:t>
            </w:r>
            <w:r w:rsidR="00AF3020">
              <w:t>2</w:t>
            </w:r>
            <w:r w:rsidR="00970A7E">
              <w:t>5</w:t>
            </w:r>
            <w:r w:rsidR="00AF3020">
              <w:t>.09.2026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56083271" w:rsidR="00BA4AAF" w:rsidRDefault="00AF3020">
            <w:r>
              <w:t>2</w:t>
            </w:r>
            <w:r w:rsidR="00970A7E">
              <w:t>5</w:t>
            </w:r>
            <w:r w:rsidR="00C302B7">
              <w:t>.</w:t>
            </w:r>
            <w:r>
              <w:t>09</w:t>
            </w:r>
            <w:r w:rsidR="00C302B7">
              <w:t>.</w:t>
            </w:r>
            <w:r>
              <w:t>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1.9</w:t>
            </w:r>
          </w:p>
        </w:tc>
        <w:tc>
          <w:tcPr>
            <w:tcW w:w="2420" w:type="dxa"/>
          </w:tcPr>
          <w:p w14:paraId="3408EBC3" w14:textId="009E7D70" w:rsidR="00DF56CB" w:rsidRDefault="00F316DB">
            <w:r>
              <w:t>21.09.2026 -</w:t>
            </w:r>
            <w:r w:rsidR="00AF3020">
              <w:t xml:space="preserve"> 2</w:t>
            </w:r>
            <w:r w:rsidR="00970A7E">
              <w:t>5</w:t>
            </w:r>
            <w:r w:rsidR="00AF3020">
              <w:t>.09.2026</w:t>
            </w:r>
          </w:p>
        </w:tc>
        <w:tc>
          <w:tcPr>
            <w:tcW w:w="1550" w:type="dxa"/>
          </w:tcPr>
          <w:p w14:paraId="55495847" w14:textId="16F8AD49" w:rsidR="00DF56CB" w:rsidRDefault="00AF3020">
            <w:r>
              <w:t>2</w:t>
            </w:r>
            <w:r w:rsidR="00970A7E">
              <w:t>5</w:t>
            </w:r>
            <w:r>
              <w:t>.09.2026</w:t>
            </w:r>
          </w:p>
        </w:tc>
        <w:tc>
          <w:tcPr>
            <w:tcW w:w="3678" w:type="dxa"/>
          </w:tcPr>
          <w:p w14:paraId="79CC7DB9" w14:textId="2291F9DF"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 W </w:t>
            </w:r>
            <w:r>
              <w:lastRenderedPageBreak/>
              <w:t>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w:t>
            </w:r>
            <w:r>
              <w:lastRenderedPageBreak/>
              <w:t>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komentarza oraz osobny checkbox „Dołącz komentarz do PDF” pojawiają </w:t>
            </w:r>
            <w:r>
              <w:lastRenderedPageBreak/>
              <w:t xml:space="preserve">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w:t>
            </w:r>
            <w:r>
              <w:lastRenderedPageBreak/>
              <w:t xml:space="preserve">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w:t>
            </w:r>
            <w:r>
              <w:lastRenderedPageBreak/>
              <w:t>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w:t>
            </w:r>
            <w:r>
              <w:lastRenderedPageBreak/>
              <w:t>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t>
            </w:r>
            <w:r>
              <w:lastRenderedPageBreak/>
              <w:t xml:space="preserve">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w:t>
            </w:r>
            <w:r>
              <w:lastRenderedPageBreak/>
              <w:t>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w:t>
            </w:r>
            <w:r>
              <w:lastRenderedPageBreak/>
              <w:t>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w:t>
            </w:r>
            <w:r>
              <w:lastRenderedPageBreak/>
              <w:t>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rejestracji kont dla administratora oraz eksport ofert do Excela w </w:t>
            </w:r>
            <w:r>
              <w:lastRenderedPageBreak/>
              <w:t>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1.9</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51453208" w14:textId="77777777">
        <w:tc>
          <w:tcPr>
            <w:tcW w:w="1948" w:type="dxa"/>
          </w:tcPr>
          <w:p w14:paraId="5B0DAE45" w14:textId="77777777" w:rsidR="00F95910" w:rsidRDefault="00000000">
            <w:r>
              <w:t>Bezpieczeństwo</w:t>
            </w:r>
          </w:p>
        </w:tc>
        <w:tc>
          <w:tcPr>
            <w:tcW w:w="6908" w:type="dxa"/>
          </w:tcPr>
          <w:p w14:paraId="36E383D4" w14:textId="77777777" w:rsidR="00F95910" w:rsidRDefault="00000000">
            <w:r>
              <w:t>Naprawiono podatność XSS w komunikatach ostrzegawczych kalkulatora o grubości/szerokości poza zakresem tabeli - treść była wstawiana do strony bez oczyszczenia (dangerouslySetInnerHTML), więc spreparowana wartość szerokości lub grubości zapisana w danych oferty mogła wykonać się jako kod w przeglądarce osoby otwierającej tę ofertę (np. seniora lub administratora przy akceptacji). Wartości wstawiane do tych komunikatów są teraz oczyszczane (funkcja formatWarning w lib/translations.ts).</w:t>
            </w:r>
          </w:p>
        </w:tc>
      </w:tr>
      <w:tr w:rsidR="00F95910" w14:paraId="4F3A28FB" w14:textId="77777777">
        <w:tc>
          <w:tcPr>
            <w:tcW w:w="1948" w:type="dxa"/>
          </w:tcPr>
          <w:p w14:paraId="7549B755" w14:textId="77777777" w:rsidR="00F95910" w:rsidRDefault="00000000">
            <w:r>
              <w:t>Nowa funkcja</w:t>
            </w:r>
          </w:p>
        </w:tc>
        <w:tc>
          <w:tcPr>
            <w:tcW w:w="6908" w:type="dxa"/>
          </w:tcPr>
          <w:p w14:paraId="280B293F" w14:textId="77777777" w:rsidR="00F95910" w:rsidRDefault="00000000">
            <w:r>
              <w:t>Dodano podstawową infrastrukturę PWA (manifest.json, komplet ikon aplikacji, minimalny service worker) oraz plakietkę zachęcającą do instalacji aplikacji na ekranie logowania - widoczną wyłącznie na telefonach z systemem Android (wykrywanie po user agent przeglądarki, wykorzystanie natywnego zdarzenia przeglądarki beforeinstallprompt), która znika automatycznie po zalogowaniu się (komponent istnieje wyłącznie na ekranie logowania) i nie pojawia się ponownie przez 7 dni po odrzuceniu przyciskiem „Nie teraz”. Dostępna we wszystkich 4 językach interfejsu aplikacji (PL/EN/CS/DE).</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53A3A377" w14:textId="77777777">
        <w:tc>
          <w:tcPr>
            <w:tcW w:w="1948" w:type="dxa"/>
          </w:tcPr>
          <w:p w14:paraId="50FBF2C1" w14:textId="77777777" w:rsidR="00F95910" w:rsidRDefault="00000000">
            <w:r>
              <w:t>Nowa funkcja</w:t>
            </w:r>
          </w:p>
        </w:tc>
        <w:tc>
          <w:tcPr>
            <w:tcW w:w="6908" w:type="dxa"/>
          </w:tcPr>
          <w:p w14:paraId="6C9CBA4A" w14:textId="77777777" w:rsidR="00F95910" w:rsidRDefault="00000000">
            <w:r>
              <w:t>W nagłówku Zestawienia obok liczby pozycji i tonażu dodano widoczną plakietkę „Koszt transportu” z sumą kosztu transportu wyliczoną tylko dla pozycji faktycznie znajdujących się w zestawieniu (każda pozycja liczona po swojej zamrożonej stawce €/t × jej tonaż) - wcześniej tę informację było widać dopiero po przewinięciu do wiersza RAZEM w stopce tabeli, a plakietka pozycji/tonażu miała kolor zlewający się z tłem. Nowa plakietka używa tego samego akcentu co suma końcowa oferty, więc od razu rzuca się w oczy. Zmiana obejmuje wszystkie 4 języki interfejsu (PL/EN/CS/DE).</w:t>
            </w:r>
          </w:p>
        </w:tc>
      </w:tr>
      <w:tr w:rsidR="00F95910" w14:paraId="096E8D86" w14:textId="77777777">
        <w:tc>
          <w:tcPr>
            <w:tcW w:w="1948" w:type="dxa"/>
          </w:tcPr>
          <w:p w14:paraId="4423C5C0" w14:textId="77777777" w:rsidR="00F95910" w:rsidRDefault="00000000">
            <w:r>
              <w:t>Poprawka</w:t>
            </w:r>
          </w:p>
        </w:tc>
        <w:tc>
          <w:tcPr>
            <w:tcW w:w="6908" w:type="dxa"/>
          </w:tcPr>
          <w:p w14:paraId="2B662A39" w14:textId="77777777" w:rsidR="00F95910" w:rsidRDefault="00000000">
            <w:r>
              <w:t xml:space="preserve">Naprawiono zaniżanie stawki transportu €/t na pozycjach już dodanych do </w:t>
            </w:r>
            <w:r>
              <w:lastRenderedPageBreak/>
              <w:t>zestawienia: tonaż użyty do podziału ryczałtu za ciężarówkę obejmował także ilość wpisaną w formularzu KOLEJNEJ, jeszcze niedodanej pozycji (pole „Ilość” zostaje wypełnione domyślną/poprzednią wartością nawet bez kliknięcia „Dodaj do zestawienia”), więc np. przy 1 pozycji w zestawieniu i domyślnym szkicu 1 t system dzielił stawkę tak, jakby w ofercie były 2 t - dla trasy do 100 km dawało to ok. 157 €/t zamiast poprawnych ok. 320 €/t. Wyliczenie stawki transportu rozdzielono na dwie wartości: podgląd (uwzględnia szkic niedodanej pozycji - do wyceny pozycji aktualnie konfigurowanej) i tonaż faktycznie zatwierdzony (tylko pozycje już w zestawieniu - do przeliczania stawki pozycji już dodanych). Samo wpisywanie ilości w formularzu nowej pozycji nie zmienia już po cichu ceny pozycji, które są już na liście.</w:t>
            </w:r>
          </w:p>
        </w:tc>
      </w:tr>
      <w:tr w:rsidR="00F95910" w14:paraId="29613315" w14:textId="77777777">
        <w:tc>
          <w:tcPr>
            <w:tcW w:w="1948" w:type="dxa"/>
          </w:tcPr>
          <w:p w14:paraId="7979AFF6" w14:textId="77777777" w:rsidR="00F95910" w:rsidRDefault="00000000">
            <w:r>
              <w:lastRenderedPageBreak/>
              <w:t>Zmiana</w:t>
            </w:r>
          </w:p>
        </w:tc>
        <w:tc>
          <w:tcPr>
            <w:tcW w:w="6908" w:type="dxa"/>
          </w:tcPr>
          <w:p w14:paraId="4C606721" w14:textId="77777777" w:rsidR="00F95910" w:rsidRDefault="00000000">
            <w:r>
              <w:t>Przyciski Q1–Q4 w okresie ważności oferty (Ważna od/Ważna do) pokazują teraz tylko kwartały wybranego roku, które jeszcze się nie zakończyły – dla roku bieżącego znikają więc już minione kwartały (np. we wrześniu 2026 widoczne są tylko Q3 i Q4), tak by handlowiec nie mógł przez pomyłkę wystawić nowej oferty z okresem ważności całkowicie w przeszłości; trwający kwartał liczy się jako wciąż dostępny. Przy zmianie roku na kolejny (np. z 2026 na 2027) nowo odslonięte kwartały (Q1, Q2) pojawiają się z krótką animacją wsunięcia zamiast skokowo, a przy powrocie na rok, w którym już minęły, znikają z analogiczną animacją zamiast po prostu znikać.</w:t>
            </w:r>
          </w:p>
        </w:tc>
      </w:tr>
      <w:tr w:rsidR="00F95910" w14:paraId="13BD439B" w14:textId="77777777">
        <w:tc>
          <w:tcPr>
            <w:tcW w:w="1948" w:type="dxa"/>
          </w:tcPr>
          <w:p w14:paraId="10F17B28" w14:textId="77777777" w:rsidR="00F95910" w:rsidRDefault="00000000">
            <w:r>
              <w:t>Zmiana</w:t>
            </w:r>
          </w:p>
        </w:tc>
        <w:tc>
          <w:tcPr>
            <w:tcW w:w="6908" w:type="dxa"/>
          </w:tcPr>
          <w:p w14:paraId="1B0E6ECC" w14:textId="77777777" w:rsidR="00F95910" w:rsidRDefault="00000000">
            <w:r>
              <w:t>W wyborze terminu płatności (kalkulator, panel „Klienci” administratora oraz Starszego handlowca) dodano osobny przycisk „2” do istniejącego zestawu gotowych wartości dni (0/15/30/45/60/90/„Inny”). Domyślny 2-dniowy termin płatności nowej oferty bez wybranego klienta (wprowadzony wcześniej razem z okresem ważności „Ten miesiąc”) do tej pory nie miał odpowiadającego mu przycisku, więc przy otwarciu kalkulatora pokazywał się jako wartość wpisana ręcznie w polu „Inny” zamiast jako zaznaczony gotowy wybór.</w:t>
            </w:r>
          </w:p>
        </w:tc>
      </w:tr>
      <w:tr w:rsidR="00F95910" w14:paraId="14F41B3B" w14:textId="77777777">
        <w:tc>
          <w:tcPr>
            <w:tcW w:w="1948" w:type="dxa"/>
          </w:tcPr>
          <w:p w14:paraId="5ED74D53" w14:textId="77777777" w:rsidR="00F95910" w:rsidRDefault="00000000">
            <w:r>
              <w:t>Nowa funkcja</w:t>
            </w:r>
          </w:p>
        </w:tc>
        <w:tc>
          <w:tcPr>
            <w:tcW w:w="6908" w:type="dxa"/>
          </w:tcPr>
          <w:p w14:paraId="04BE55F4" w14:textId="77777777" w:rsidR="00F95910" w:rsidRDefault="00000000">
            <w:r>
              <w:t>Przy wyborze okresu ważności oferty (Q1–Q4/„Ten miesiąc”/„Niestandardowy”) kalkulator pokazuje teraz krótką informacyjną plakietkę, gdy wybrany kwartał NIE jest bieżącym i ma inną zaplanowaną cenę PGL niż aktualnie obowiązująca (np. „Uwaga: tworzysz ofertę na Q4 2026 — PGL na ten kwartał jest ustawione na inną cenę niż bieżąca (X €/t)”) – PGL dla wybranego kwartału i tak był dobierany automatycznie (mechanizm harmonogramu kwartalnego z wersji 1.8), ale handlowiec nie miał wcześniej żadnego widocznego sygnału, że cena różni się od tej z bieżącego kwartału. Plakietka jest czysto informacyjna (niczego nie blokuje) i chowa się automatycznie po powrocie do bieżącego kwartału albo po zmianie typu stali. Dostępna we wszystkich 4 językach interfejsu (PL/EN/CS/DE).</w:t>
            </w:r>
          </w:p>
        </w:tc>
      </w:tr>
      <w:tr w:rsidR="00F95910" w14:paraId="3D1347FC" w14:textId="77777777">
        <w:tc>
          <w:tcPr>
            <w:tcW w:w="1948" w:type="dxa"/>
          </w:tcPr>
          <w:p w14:paraId="05430FE3" w14:textId="77777777" w:rsidR="00F95910" w:rsidRDefault="00000000">
            <w:r>
              <w:t>Zmiana</w:t>
            </w:r>
          </w:p>
        </w:tc>
        <w:tc>
          <w:tcPr>
            <w:tcW w:w="6908" w:type="dxa"/>
          </w:tcPr>
          <w:p w14:paraId="78C51DC0" w14:textId="77777777" w:rsidR="00F95910" w:rsidRDefault="00000000">
            <w:r>
              <w:t>Nagłówek rozwijanej sekcji „Trasa i transport” w Zestawieniu (przycisk otwierający/zwijający panel) wyróżniono pogrubieniem, kolorem akcentu i wyraźną ramką z podświetleniem przy najechaniu kursorem - wcześniej był to zwykły, przygaszony tekst nieodróżniający się wizualnie od reszty panelu, przez co część handlowców nie zauważała, że to klikalny przycisk rozwijający formularz trasy i kosztu transportu.</w:t>
            </w:r>
          </w:p>
        </w:tc>
      </w:tr>
    </w:tbl>
    <w:p w14:paraId="47C2EC5D" w14:textId="77777777" w:rsidR="00BA4AAF" w:rsidRDefault="00250F91">
      <w:pPr>
        <w:spacing w:before="240" w:after="40"/>
      </w:pPr>
      <w:r>
        <w:rPr>
          <w:b/>
          <w:color w:val="2B57A6"/>
          <w:sz w:val="26"/>
        </w:rPr>
        <w:lastRenderedPageBreak/>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5"/>
        <w:gridCol w:w="6911"/>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Kolejność informacji w nagłówku wiersza na liście „Moje oferty” rozszerzona o dane klienta: bezpośrednio pod numerem oferty (offer_id) pojawia się teraz osobna linia z nazwą firmy i numerem SAP klienta („Firma — SAP: 12345”, a przy braku SAP ID sama nazwa firmy), a nazwa własna oferty (jeśli różni się od offer_id) zeszła o jedną linię niżej, pod nią. Dla ofert bez jeszcze uzupełnionych danych klienta (świeże szkice) linia pokazuje placeholder „— brak danych firmy —”, tak by wysokość wiersza nie zmieniała się po ich uzupełnieniu. Zmiana obejmuje wszystkie 4 języki interfejsu aplikacji (PL/EN/CS/DE).</w:t>
            </w:r>
          </w:p>
        </w:tc>
      </w:tr>
      <w:tr w:rsidR="00F95910" w14:paraId="7F4738AF" w14:textId="77777777">
        <w:tc>
          <w:tcPr>
            <w:tcW w:w="1948" w:type="dxa"/>
          </w:tcPr>
          <w:p w14:paraId="713805B9" w14:textId="77777777" w:rsidR="00F95910" w:rsidRDefault="00000000">
            <w:r>
              <w:t>Nowa funkcja</w:t>
            </w:r>
          </w:p>
        </w:tc>
        <w:tc>
          <w:tcPr>
            <w:tcW w:w="6908" w:type="dxa"/>
          </w:tcPr>
          <w:p w14:paraId="0D408551" w14:textId="77777777" w:rsidR="00F95910" w:rsidRDefault="00000000">
            <w:r>
              <w:t>Wyszukiwarka na liście „Moje oferty” (oraz w panelach Starszego handlowca i Administratora) rozszerzona o dopasowanie po nazwie firmy klienta i numerze SAP ID, nie tylko po nazwie/numerze oferty jak dotychczas - dane porównywane są z zapisanym w samej ofercie offer_data.clientInfo, więc wynik zawsze widocznie zawiera wpisaną frazę. Opcja sortowania „Nazwa” na liście „Moje oferty” zmieniona na „Nazwa oferty”, żeby nie myliła się z nazwą firmy klienta, a obok niej doszły nowe opcje sortowania „Firma” i „SAP ID”. Panele Starszego handlowca i Administratora, które wcześniej nie miały żadnego sortowania, dostały ten sam pełny zestaw (data, nazwa oferty, firma, SAP ID, wartość, status) - dla Starszego handlowca domyślna kolejność z kolejką ofert do recenzji zawsze na górze została zachowana niezależnie od wybranego kierunku sortowania. Zmiana obejmuje wszystkie 4 języki interfejsu aplikacji (PL/EN/CS/DE).</w:t>
            </w:r>
          </w:p>
        </w:tc>
      </w:tr>
      <w:tr w:rsidR="00F95910" w14:paraId="03EE6847" w14:textId="77777777">
        <w:tc>
          <w:tcPr>
            <w:tcW w:w="1948" w:type="dxa"/>
          </w:tcPr>
          <w:p w14:paraId="6A567D9E" w14:textId="77777777" w:rsidR="00F95910" w:rsidRDefault="00000000">
            <w:r>
              <w:t>Zmiana</w:t>
            </w:r>
          </w:p>
        </w:tc>
        <w:tc>
          <w:tcPr>
            <w:tcW w:w="6908" w:type="dxa"/>
          </w:tcPr>
          <w:p w14:paraId="131E13E8" w14:textId="77777777" w:rsidR="00F95910" w:rsidRDefault="00000000">
            <w:r>
              <w:t>Status oferty na liście „Moje oferty” (np. „Przegrana: cena” albo „Odrzucona: &lt;powód&gt;”) pokazywany teraz jako skrócony tekst wewnątrz istniejącej plakietki statusu obok numeru oferty (offer_id), zamiast osobnego pełnowymiarowego czerwonego bloku pod nazwą firmy klienta - ten blok odciągał wzrok handlowca od najważniejszej informacji w wierszu, czyli nazwy firmy. Dłuższy powód jest skracany w plakietce (do ok. 24 znaków), a pełna treść dostępna po najechaniu kursorem (tooltip). Dotyczy zarówno powodu odrzucenia oferty, jak i notatki „dlaczego przegrana” wpisanej przy decyzji klienta.</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53"/>
        <w:gridCol w:w="6903"/>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000000">
            <w:r>
              <w:t>Zmiana</w:t>
            </w:r>
          </w:p>
        </w:tc>
        <w:tc>
          <w:tcPr>
            <w:tcW w:w="6908" w:type="dxa"/>
          </w:tcPr>
          <w:p w14:paraId="6E86EE1A" w14:textId="77777777" w:rsidR="00F95910" w:rsidRDefault="00000000">
            <w:r>
              <w:t xml:space="preserve">Termin płatności w kalkulatorze oraz w panelu klientów (zakładka „Klienci” u administratora i w panelu Starszego handlowca) zamieniony z pary pól dat „od”/„do” na gotowe przyciski liczby dni: 0 (opisane jako „Przedpłata”), 15, 30, 45, 60, 90, oraz przycisk „Inny” odsłaniający pole do wpisania dowolnej wartości (0–365 dni, ten sam limit co dotychczasowe ograniczenie w bazie danych). Wybrany termin trafia do stopki PDF jako „Termin płatności: N dni.” (albo „Warunki płatności: przedpłata.” dla </w:t>
            </w:r>
            <w:r>
              <w:lastRenderedPageBreak/>
              <w:t>wartości 0) zamiast dotychczasowego zakresu dwóch dat; brak wyboru pozostawia ogólną formułkę „wg ustaleń indywidualnych”, tak jak dotychczas. Usunięto też ze stopki PDF stałą, niezmienną formułkę „Ważność oferty: 48h od daty wystawienia” — opcjonalna linia z rzeczywiście wybranym przez handlowca okresem ważności oferty (Ważna od/Ważna do) pozostaje bez zmian. Zmiana obejmuje wszystkie 4 języki interfejsu (PL/EN/CS/DE).</w:t>
            </w:r>
          </w:p>
        </w:tc>
      </w:tr>
      <w:tr w:rsidR="00F95910" w14:paraId="48520A7F" w14:textId="77777777">
        <w:tc>
          <w:tcPr>
            <w:tcW w:w="1948" w:type="dxa"/>
          </w:tcPr>
          <w:p w14:paraId="73C552A3" w14:textId="77777777" w:rsidR="00F95910" w:rsidRDefault="00000000">
            <w:r>
              <w:lastRenderedPageBreak/>
              <w:t>Poprawka</w:t>
            </w:r>
          </w:p>
        </w:tc>
        <w:tc>
          <w:tcPr>
            <w:tcW w:w="6908" w:type="dxa"/>
          </w:tcPr>
          <w:p w14:paraId="74003DDC" w14:textId="77777777" w:rsidR="00F95910" w:rsidRDefault="00000000">
            <w:r>
              <w:t>Naprawiono zawijanie się symbolu waluty na osobną linię w PDF przy bardzo dużych kwotach (np. ofertach powyżej 1 000 000 €) — dotyczyło to zarówno wartości pojedynczej pozycji, jak i sumy w wierszu „RAZEM”: kolumna „Wartość” w tabeli pozycji i w podsumowaniu miała stałą szerokość 98px bez zabezpieczenia przed łamaniem wiersza, więc przy dłuższych kwotach znak waluty trafiał pod liczbę (błąd znany wcześniej przy kwotach pięciocyfrowych, tym razem zweryfikowany na siedmiocyfrowej). Kolumna poszerzona do 130px kosztem pustej w tym miejscu kolumny „Uwagi” w wierszu podsumowania, a odpowiednim elementom dodano zabezpieczenie przed łamaniem wiersza (white-space: nowrap).</w:t>
            </w:r>
          </w:p>
        </w:tc>
      </w:tr>
      <w:tr w:rsidR="00F95910" w14:paraId="4148ADE1" w14:textId="77777777">
        <w:tc>
          <w:tcPr>
            <w:tcW w:w="1948" w:type="dxa"/>
          </w:tcPr>
          <w:p w14:paraId="0E69816E" w14:textId="77777777" w:rsidR="00F95910" w:rsidRDefault="00000000">
            <w:r>
              <w:t>Nowa funkcja</w:t>
            </w:r>
          </w:p>
        </w:tc>
        <w:tc>
          <w:tcPr>
            <w:tcW w:w="6908" w:type="dxa"/>
          </w:tcPr>
          <w:p w14:paraId="009723E5" w14:textId="77777777" w:rsidR="00F95910" w:rsidRDefault="00000000">
            <w:r>
              <w:t>Okres ważności oferty („Ważna od”/„Ważna do” w kalkulatorze) zyskał te same gotowe przyciski co termin płatności: Q1–Q4 wybranego roku, „Ten miesiąc” (od dzisiaj do końca miesiąca) oraz „Niestandardowy” odsłaniający surowe pola dat — zamiast wpisywania obu dat ręcznie za każdym razem. Wybór kwartału/miesiąca automatycznie dobiera odpowiednie PGL bazowe, dokładnie tak jak dotychczas robiły to ręcznie wpisane daty. Nowa oferta bez wybranego klienta dostaje teraz domyślnie okres „Ten miesiąc” oraz 2-dniowy termin płatności (zamiast pustych pól) — handlowiec może to nadpisać w każdej chwili. Przywrócono też do stopki PDF dawną linijkę „Ważność oferty: 48h od daty wystawienia”, usuniętą przy wprowadzeniu przycisków terminu płatności — tym razem liczoną dynamicznie z wybranego terminu płatności (dni × 24h) zamiast być na sztywno wpisaną liczbą godzin; przy przedpłacie (0 dni) linijka się nie pojawia, bo godziny nie mają wtedy sensu.</w:t>
            </w:r>
          </w:p>
        </w:tc>
      </w:tr>
      <w:tr w:rsidR="00F95910" w14:paraId="4405A4D8" w14:textId="77777777">
        <w:tc>
          <w:tcPr>
            <w:tcW w:w="1948" w:type="dxa"/>
          </w:tcPr>
          <w:p w14:paraId="1C437898" w14:textId="77777777" w:rsidR="00F95910" w:rsidRDefault="00000000">
            <w:r>
              <w:t>Poprawka</w:t>
            </w:r>
          </w:p>
        </w:tc>
        <w:tc>
          <w:tcPr>
            <w:tcW w:w="6908" w:type="dxa"/>
          </w:tcPr>
          <w:p w14:paraId="637614B7" w14:textId="77777777" w:rsidR="00F95910" w:rsidRDefault="00000000">
            <w:r>
              <w:t>Naprawiono analogiczny problem jak przy kwotach w PLN/EUR — kolumna „Tonaż”/„Ilość t” w tabeli pozycji PDF (50px, bez zabezpieczenia przed ucięciem) mogła obcinać cyfry przy bardzo dużych pojedynczych pozycjach (np. kilkadziesiąt tysięcy ton). Kolumna poszerzona do 70px kosztem kolumny „Uwagi” (188→168px); wiersz podsumowania tonażu w stopce („Łącznie t:”) dodatkowo zabezpieczony przed łamaniem wiersza tak samo jak wcześniej kwota. Zweryfikowano na pozycji 54 321,50 t / 44 528 420 €.</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40AB2BE9" w14:textId="77777777">
        <w:tc>
          <w:tcPr>
            <w:tcW w:w="1963" w:type="dxa"/>
          </w:tcPr>
          <w:p w14:paraId="62AFE7FE" w14:textId="77777777" w:rsidR="00F95910" w:rsidRDefault="00000000">
            <w:r>
              <w:t>Poprawka</w:t>
            </w:r>
          </w:p>
        </w:tc>
        <w:tc>
          <w:tcPr>
            <w:tcW w:w="6893" w:type="dxa"/>
          </w:tcPr>
          <w:p w14:paraId="1163E740" w14:textId="77777777" w:rsidR="00F95910" w:rsidRDefault="00000000">
            <w:r>
              <w:t xml:space="preserve">Poprawiono responsywność całej aplikacji w pionowej orientacji telefonu (ok. 375 px szerokości) - dotychczas stałe wielokolumnowe siatki (np. grid-cols-3/4) i sztywne szerokości w pikselach nie miały progów responsywnych, więc na wąskim ekranie kolumny się zgniatały, tekst się </w:t>
            </w:r>
            <w:r>
              <w:lastRenderedPageBreak/>
              <w:t>urywał, a niektóre wiersze wychodziły poza szerokość ekranu. Poprawiono kolejno: wspólny nagłówek i górną nawigację (zawijanie na dwa wiersze, ikony bez podpisów poniżej progu telefonu) we wszystkich pięciu miejscach, w których nagłówek był powielony; górny pasek parametrów kalkulatora (grubość/szerokość/długość/gatunek, dane klienta i kontaktu) oraz panel dopłat i podsumowania finansowego (rozbicie na jedną kolumnę zamiast zgniecionych 2-3 kolumn); tabelę Zestawienia (zwężone marginesy kolumn, cień przewijania sygnalizujący dodatkową zawartość w poziomie); listę „Moje oferty” (poprawiono nakładające się i ucinane przyciski akcji Excel/PDF/Usuń oraz dodano rozwijanie pełnej nazwy firmy i numeru SAP stuknięciem, bez trwałej zmiany wysokości wiersza); panele administratora (m.in. zgnieciony do dwóch kolumn na telefonie panel wyników „Wyniki” handlowca w zakładce „Handlowcy”, mimo dostępnej szerokości jednej kolumny); oraz panel Analiza i panel Starszego handlowca (zawijanie pięciu zakładek filtrowania kolejki ofert, które wcześniej ucinały ostatnią zakładkę „Klienci” poza ekranem, oraz te same nakładające się przyciski akcji na liście ofert do weryfikacji co w „Moje oferty”). Zmiana dotyczy wyłącznie wąskiego widoku telefonu - wygląd na komputerze i w poziomej orientacji telefonu pozostaje identyczny jak wcześniej.</w:t>
            </w:r>
          </w:p>
        </w:tc>
      </w:tr>
      <w:tr w:rsidR="00F95910" w14:paraId="6775E6FB" w14:textId="77777777">
        <w:tc>
          <w:tcPr>
            <w:tcW w:w="1963" w:type="dxa"/>
          </w:tcPr>
          <w:p w14:paraId="2791CFAE" w14:textId="77777777" w:rsidR="00F95910" w:rsidRDefault="00000000">
            <w:r>
              <w:lastRenderedPageBreak/>
              <w:t>Nowa funkcja</w:t>
            </w:r>
          </w:p>
        </w:tc>
        <w:tc>
          <w:tcPr>
            <w:tcW w:w="6893" w:type="dxa"/>
          </w:tcPr>
          <w:p w14:paraId="1FD91E8E" w14:textId="77777777" w:rsidR="00F95910" w:rsidRDefault="00000000">
            <w:r>
              <w:t>Panel „Analiza” pokazuje teraz przy każdym zawężeniu do jednej wartości (handlowiec, typ stali, status oferty, decyzja klienta lub firma klienta) osobną, zamykalną plakietkę z wybraną wartością – zarówno w zbiorczym pasku na górze strony (widoczny cały zestaw aktywnych filtrów naraz), jak i bezpośrednio przy panelu, z którego zawężenie zostało wybrane, oraz przy przycisku eksportu do Excela. Wcześniej jedynym miejscem do wyczyszczenia takiego filtra był pasek filtrów na samej górze strony.</w:t>
            </w:r>
          </w:p>
        </w:tc>
      </w:tr>
      <w:tr w:rsidR="00F95910" w14:paraId="380BE0EF" w14:textId="77777777">
        <w:tc>
          <w:tcPr>
            <w:tcW w:w="1963" w:type="dxa"/>
          </w:tcPr>
          <w:p w14:paraId="312B0A45" w14:textId="77777777" w:rsidR="00F95910" w:rsidRDefault="00000000">
            <w:r>
              <w:t>Nowa funkcja</w:t>
            </w:r>
          </w:p>
        </w:tc>
        <w:tc>
          <w:tcPr>
            <w:tcW w:w="6893" w:type="dxa"/>
          </w:tcPr>
          <w:p w14:paraId="5B35BFCC" w14:textId="77777777" w:rsidR="00F95910" w:rsidRDefault="00000000">
            <w:r>
              <w:t>Panel „Handlowcy” administratora zyskał zakładki filtrowania po roli (Wszyscy/młodszy handlowiec/starszy handlowiec/administrator) z liczbą kont przy każdej zakładce, zamiast pokazywania zawsze pełnej listy. Lista ofert administratora („Oferty”) pokazuje teraz zamykalną plakietkę z nazwiskiem handlowca, gdy lista jest już zawężona do konkretnej osoby (np. po kliknięciu „Zobacz oferty” w panelu Handlowcy) – bez konieczności przewijania do skrzynki filtrów wyżej, żeby wyczyścić to zawężenie.</w:t>
            </w:r>
          </w:p>
        </w:tc>
      </w:tr>
      <w:tr w:rsidR="00F95910" w14:paraId="35EA4F03" w14:textId="77777777">
        <w:tc>
          <w:tcPr>
            <w:tcW w:w="1963" w:type="dxa"/>
          </w:tcPr>
          <w:p w14:paraId="3AC0F2E9" w14:textId="77777777" w:rsidR="00F95910" w:rsidRDefault="00000000">
            <w:r>
              <w:t>Nowa funkcja</w:t>
            </w:r>
          </w:p>
        </w:tc>
        <w:tc>
          <w:tcPr>
            <w:tcW w:w="6893" w:type="dxa"/>
          </w:tcPr>
          <w:p w14:paraId="1733B66E" w14:textId="77777777" w:rsidR="00F95910" w:rsidRDefault="00000000">
            <w:r>
              <w:t>Panel „Handlowcy” w Analizie (ranking wyników per handlowiec, widoczny dla administratora oraz Starszego handlowca z zespołem) zyskał przełącznik filtrujący wg roli (Wszystko/młodszy handlowiec/starszy handlowiec/administrator) nad tabelą rankingu. Zawężenie działa od razu na już pobranych danych, bez dodatkowego zapytania do serwera, i przelicza też udziały procentowe oraz wiersz „Razem” dla zawężonej grupy.</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lastRenderedPageBreak/>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BBF8DAD" w14:textId="77777777" w:rsidR="00BA4AAF" w:rsidRDefault="00250F91">
      <w:pPr>
        <w:spacing w:before="200" w:after="120"/>
      </w:pPr>
      <w:r>
        <w:rPr>
          <w:b/>
          <w:color w:val="1F2A44"/>
          <w:sz w:val="26"/>
        </w:rPr>
        <w:t>Plany na kolejny tydzień</w:t>
      </w:r>
    </w:p>
    <w:p w14:paraId="6EAAE336" w14:textId="40A05A8B" w:rsidR="00A14329" w:rsidRDefault="00250F91">
      <w:pPr>
        <w:pStyle w:val="Listapunktowana"/>
      </w:pPr>
      <w:r>
        <w:t>Testy ręczne end-to-end wszystkich trzech ról i pełnego obiegu oferty na środowisku produkcyjnym (po wdrożeniu wersji 1.</w:t>
      </w:r>
      <w:r w:rsidR="00A92162">
        <w:t>9</w:t>
      </w:r>
      <w:r>
        <w:t>)</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D952" w14:textId="77777777" w:rsidR="00F13889" w:rsidRDefault="00F13889">
      <w:pPr>
        <w:spacing w:after="0" w:line="240" w:lineRule="auto"/>
      </w:pPr>
      <w:r>
        <w:separator/>
      </w:r>
    </w:p>
  </w:endnote>
  <w:endnote w:type="continuationSeparator" w:id="0">
    <w:p w14:paraId="3578B85F" w14:textId="77777777" w:rsidR="00F13889" w:rsidRDefault="00F13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88D3" w14:textId="77777777" w:rsidR="00F13889" w:rsidRDefault="00F13889">
      <w:pPr>
        <w:spacing w:after="0" w:line="240" w:lineRule="auto"/>
      </w:pPr>
      <w:r>
        <w:separator/>
      </w:r>
    </w:p>
  </w:footnote>
  <w:footnote w:type="continuationSeparator" w:id="0">
    <w:p w14:paraId="48699F49" w14:textId="77777777" w:rsidR="00F13889" w:rsidRDefault="00F13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7298E"/>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3F4D34"/>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70A7E"/>
    <w:rsid w:val="00997DE9"/>
    <w:rsid w:val="009E27C7"/>
    <w:rsid w:val="009F095F"/>
    <w:rsid w:val="009F31A2"/>
    <w:rsid w:val="009F6800"/>
    <w:rsid w:val="00A02183"/>
    <w:rsid w:val="00A14329"/>
    <w:rsid w:val="00A45E1B"/>
    <w:rsid w:val="00A535C4"/>
    <w:rsid w:val="00A92162"/>
    <w:rsid w:val="00AA1D8D"/>
    <w:rsid w:val="00AE13B0"/>
    <w:rsid w:val="00AF3020"/>
    <w:rsid w:val="00AF7590"/>
    <w:rsid w:val="00B0134B"/>
    <w:rsid w:val="00B07223"/>
    <w:rsid w:val="00B36AEF"/>
    <w:rsid w:val="00B47730"/>
    <w:rsid w:val="00B607B4"/>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E3BD0"/>
    <w:rsid w:val="00EF3709"/>
    <w:rsid w:val="00F05F0C"/>
    <w:rsid w:val="00F127D9"/>
    <w:rsid w:val="00F12DC9"/>
    <w:rsid w:val="00F13889"/>
    <w:rsid w:val="00F2758A"/>
    <w:rsid w:val="00F316DB"/>
    <w:rsid w:val="00F3442E"/>
    <w:rsid w:val="00F369F9"/>
    <w:rsid w:val="00F46C8E"/>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17</Pages>
  <Words>4712</Words>
  <Characters>28273</Characters>
  <Application>Microsoft Office Word</Application>
  <DocSecurity>0</DocSecurity>
  <Lines>235</Lines>
  <Paragraphs>65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36</cp:revision>
  <dcterms:created xsi:type="dcterms:W3CDTF">2026-07-08T11:11:00Z</dcterms:created>
  <dcterms:modified xsi:type="dcterms:W3CDTF">2026-09-24T12:54:00Z</dcterms:modified>
  <cp:category/>
</cp:coreProperties>
</file>