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49694146" w14:textId="77777777">
        <w:tc>
          <w:tcPr>
            <w:tcW w:w="1948" w:type="dxa"/>
          </w:tcPr>
          <w:p w14:paraId="7BF4845D" w14:textId="77777777" w:rsidR="00F95910" w:rsidRDefault="00F95910"/>
        </w:tc>
        <w:tc>
          <w:tcPr>
            <w:tcW w:w="6908" w:type="dxa"/>
          </w:tcPr>
          <w:p w14:paraId="6E86EE1A" w14:textId="77777777" w:rsidR="00F95910" w:rsidRDefault="00F95910"/>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odrzuca tylko oczywiste nieprawidłowości (np. wyzerowaną wartość pozycji).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Część zasad formularza uprawnień jest niejednoznaczna lub wzajemnie sprzeczna (m.in. poziom CEO w Flow 2, kto zatwierdza obniżenie bazy, sposób liczenia marży i kwartału, opisy widoczności niezgodne z zaznaczeniami). Lista pytań do biznesu: „Historia wersji oraz md/questions_for_lukasz.md”; do czasu odpowiedzi działają przyjęte założenia opisane w tym pliku.</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Omówienie z biznesem listy otwartych pytań do modelu uprawnień (questions_for_lukasz.md) i naniesienie odpowiedzi w panelu Uprawnienia (progi, poziomy, widoczność).</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