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2.0</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2</w:t>
            </w:r>
            <w:r w:rsidR="00E3624A">
              <w:t>4</w:t>
            </w:r>
            <w:r>
              <w:t xml:space="preserve">.09.2026 - </w:t>
            </w:r>
            <w:r w:rsidR="00A05E03">
              <w:t>13</w:t>
            </w:r>
            <w:r w:rsidR="00A05E03">
              <w:t>.</w:t>
            </w:r>
            <w:r w:rsidR="00A05E03">
              <w:t>10</w:t>
            </w:r>
            <w:r w:rsidR="00A05E03">
              <w:t>.2026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t>13.10.2026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2.0</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Konfigurowalny model uprawnień zamiast stałych ról junior / senior / admin: flowy procesowe, poziomy hierarchii (N0, N+1, N+2, N+3, NPR), role z sześcioma uprawnieniami funkcjonalnymi ustawianymi osobno w każdym flow, przypisania użytkowników do flow, reguły walidacji i macierz widoczności. Dane startowe zgodne z formularzem uprawnień i walidacji ofert z 22.09.2026 (Flow 1 - DYSTR, Flow 2 - PROJEKTY; CEO w Flow 2 na poziomie N+2).</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istniejących kont bez utraty haseł, sesji i historii: junior -&gt; Flow 1 / Internal Front Office, senior -&gt; Flow 1 / Area Sales Manager (zespół zachowany), admin -&gt; Administrator. Wszystkie dotychczasowe oferty przypisane do Flow 1. Nowe konto zakładane przez administratora nie ma dostępu, dopóki nie zostanie przypisane do flow i roli.</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Uprawnienia sprawdzane przy każdym żądaniu na podstawie aktualnej konfiguracji w bazie (w kodzie nie ma już nazw ról). Widoczność ofert egzekwowana po stronie serwera dla list ofert, kolejki walidacji i panelu Analiza. Nikt nie zatwierdza własnej oferty, starsze wersje oferty są tylko do odczytu, żądania zmieniające dane z obcej domeny są odrzucane.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Automatyczne testy silnika reguł (npm test) obejmujące scenariusze T1-T5 z arkusza SYMULATOR oraz przypadki brzegowe (błędne daty ważności, wyzerowana wartość pozycji, eskalacja NPR).</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Serwer sprawdza kompletność i spójność każdej pozycji przy zapisie oferty: gatunek, wymiary, tonaż oraz zgodność kwot (marża = (PGL + Σ Huta) × marża %, cena = PGL + Σ Huta + marża + dopłata + transport + Σ SSC, wartość = cena × tony). Oferta z niespójnymi wartościami jest odrzucana z komunikatem wskazującym pozycję. Przyczyna błędnych ofert testowych „SMOKE” (pozycje bez gatunku i wymiarów, cena 0 €/t przy wartości 100 €); dane testowe przeliczono poprawnie. Testy automatyczne z przykładem liczbowym (645 + 46, marża 7% = 48,37 → cena 814,37 €/t).</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Pola bazy PGL oraz ceny / marży są zablokowane, gdy rola w danym flow nie ma takiego uprawnienia (np. Front Office we Flow 1 nie zmienia bazy PGL). Serwer odrzuca niedozwoloną zmianę także przy zapisie z pominięciem interfejsu.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Zestawienie: nowa kolumna PGL oraz marża pokazywana jako kwota i procent (np. 73,22 / 7%). Kolumny ceny, tonażu i wartości nie zawijają się na węższych ekranach.</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Naprawiono brak możliwości podejrzenia cen i specyfikacji oferty oczekującej na walidację w panelu Starszego handlowca (zgłoszenie testerów). Liczba pozycji oraz link „+N więcej” pod ofertą są teraz klikalne i rozwijają tabelę pozycji: gatunek i wymiary, typ, cena jednostkowa, tony i wartość pozycji, w walucie oferty. Widok i działanie takie same jak na liście „Moje oferty”. Zmiana wyłącznie prezentacyjna - bez wpływu na wyliczenia cen.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Walidacja oferty bezpośrednio z kalkulatora: po wejściu w ofertę oczekującą na weryfikację (przycisk „Edytuj w kalkulatorze”) Starszy handlowiec / Administrator ma na górze przyciski „Zatwierdź” i „Odrzuć” (odrzucenie wymaga powodu). Przy niezapisanych zmianach przyciski są zablokowane z podpowiedzią - decyzja dotyczy zapisanej wersji oferty. Po decyzji następuje powrót do panelu Starszego handlowca.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Informacja o cenie poniżej wytycznych przed walidacją: w panelu Starszego handlowca (oferta oczekująca na weryfikację) oraz w kalkulatorze pod paskiem walidacji pojawia się lista pozycji, które nie spełniają wytycznych, z konkretną wartością i progiem - np. „marża 4% &lt; min 6%” albo „PGL 640 &lt; baza 645”. Reguła jest ta sama, która decyduje o konieczności zatwierdzenia oferty (jedno źródło w kodzie), więc komunikat nie może się rozjechać z wymogiem.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Powód odrzucenia oferty przez klienta jako lista rozwijana: przy oznaczeniu oferty wysłanej jako „Przegrana” zamiast wolnego tekstu pojawia się okno z listą powodów (cena, termin dostawy, wybrał konkurencję, projekt anulowany, brak odpowiedzi klienta, warunki płatności, inne). Wybór jest opcjonalny - brak wyboru zapisuje powód „Inne”, a przy „Inne” można wpisać własny powód. Powód widać w oznaczeniu przy ofercie. Oferty oznaczone wcześniej jako przegrane dostały powód „Inne” (dotychczasowa notatka zostaje). Wymaga uruchomienia migracji 024 na bazie przed wdrożeniem.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Statystyki powodów odrzucenia w panelu Analiza: nowy panel „Powody odrzucenia przez klienta” pod wykresem wygranych i przegranych. Pokazuje, ile ofert (oraz ile ton i jaką wartość) przegrano z każdego powodu, wraz z udziałem procentowym - od najczęstszego powodu. Respektuje filtry panelu (okres, handlowiec, klient, typ stali) i wybraną walutę; przegrane sprzed wprowadzenia listy liczone są jako „Inne”.</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Dostępność nowych okien dialogowych (odrzucenie oferty przez seniora, powód odrzucenia przez klienta): klawisz Tab krąży tylko po elementach okna i nie wychodzi na stronę pod spodem, okno zamyka Escape lub kliknięcie w tło, a po zamknięciu fokus wraca na przycisk, który je otworzył. Pola mają etykiety dla czytników ekranu, a przycisk Anuluj jest zablokowany w trakcie zapisu.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„Dashboard” (🏠) jako pierwsza zakładka głównej nawigacji dla osób walidujących (senior, admin): widoczny zaraz po zalogowaniu i prowadzi do ich panelu (senior – panel walidacji, admin – pulpit). Zastępuje osobne zakładki „Panel Seniora” i „Panel Admina”, które prowadziły do tych samych stron.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Silnik reguł walidacji: przy wysyłce do walidacji wymagany poziom akceptacji to najwyższy poziom spośród spełnionych reguł (marża poniżej zakładanej 4,5% -&gt; N+1, niedobór marży co najmniej 2,1 p.p. -&gt; N+2, obniżenie bazy wyceny -&gt; NPR, termin ważności powyżej 48h, ważność ceny kwartał / dłużej niż kwartał, wartość oferty powyżej 1 000 000 EUR). Reguła NPR to dodatkowa, równoległa akceptacja. Gdy żadna reguła nie jest spełniona albo poziom twórcy ją pokrywa, oferta może wyjść do klienta bez walidacji.</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Kolejka „Do walidacji”: oferta trafia do wszystkich osób z rolą na wymaganym poziomie w danym flow. Walidujący może ofertę edytować (reguły liczą się ponownie i mogą podnieść poziom), odrzucić z instrukcją dla handlowca, zatwierdzić albo zatwierdzić i od razu wysłać do klienta w imieniu handlowca (zapisywane jest, kto wysłał).</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Konflikt konfiguracji (scenariusz T5): gdy reguła wymaga poziomu, którego nie ma w danym flow, oferta jest eskalowana do najbliższego wyższego istniejącego poziomu z widoczną adnotacją. Administrator może zamiast tego wybrać blokadę wysyłki albo eskalację do najwyższego poziomu.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weryfikującego: klikalne kafelki jak w panelu administratora - „Oczekujące na weryfikację”, „Oczekujące na wysłanie” oraz oferty wg statusu. Kliknięcie filtruje listę i przewija do ofert z akcjami (zatwierdź / odrzuć / wyślij).</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Zatwierdzenie oferty ponownie sprawdza aktualne reguły. Wymagany poziom akceptacji jest zapisywany w chwili wysyłki do walidacji, więc po zmianie reguł (a także dla ofert przeniesionych z wersji 1.x z krokiem N+1) niższy poziom mógł zatwierdzić ofertę, która według dzisiejszych reguł wymaga wyższego. Teraz, jeśli reguły wymagają poziomu, którego oferta nie ma, zatwierdzenie nie dochodzi do skutku: oferta jest przekierowana na właściwy poziom, a walidujący widzi komunikat. Kroki już zatwierdzone (np. NPR) pozostają ważne, a poziom nigdy nie jest obniżany. Przykład: oferta wysłana przy marży 4,0% (niedobór 0,5 pp -&gt; N+1), a dziś z marżą 2,4% (niedobór 2,1 pp) wymaga N+2 - ASM nie może jej już zatwierdzić. Na danych testowych dotyczy to 6 starszych ofert, które trafiłyby do N+2 + NPR.</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49694146" w14:textId="77777777">
        <w:tc>
          <w:tcPr>
            <w:tcW w:w="1948" w:type="dxa"/>
          </w:tcPr>
          <w:p w14:paraId="7BF4845D" w14:textId="77777777" w:rsidR="00F95910" w:rsidRDefault="00F95910"/>
        </w:tc>
        <w:tc>
          <w:tcPr>
            <w:tcW w:w="6908" w:type="dxa"/>
          </w:tcPr>
          <w:p w14:paraId="6E86EE1A" w14:textId="77777777" w:rsidR="00F95910" w:rsidRDefault="00F95910"/>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„Uprawnienia” w panelu administratora: flowy i ich członkowie, role i poziomy hierarchii z uprawnieniami, edytor reguł walidacji z kontrolą kompletności konfiguracji (progi „do uzupełnienia”), symulator wymaganej walidacji z gotowymi scenariuszami T1-T5 oraz macierz widoczności z wyliczanym na bieżąco efektywnym zakresem.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Handlowcy: przypisanie osoby do roli w każdym flow, przełącznik Administratora, filtr po flow oraz widok piramidy (struktura organizacyjna flow: poziomy N0-N+3, NPR jako poziom równoległy, Administrator poza piramidą).</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Przełącznik aktywnego flow w nawigacji dla osób przypisanych do kilku flow oraz plakietka z rolą i poziomem. Nowe teksty interfejsu w czterech językach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 Ustawienia obok flag języka na każdej stronie - skrót do ustawień dla administratora, od razu po zalogowaniu.</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Część zasad formularza uprawnień jest niejednoznaczna lub wzajemnie sprzeczna (m.in. poziom CEO w Flow 2, kto zatwierdza obniżenie bazy, sposób liczenia marży i kwartału, opisy widoczności niezgodne z zaznaczeniami). Lista pytań do biznesu: „Historia wersji oraz md/questions_for_lukasz.md”; do czasu odpowiedzi działają przyjęte założenia opisane w tym pliku.</w:t>
      </w:r>
    </w:p>
    <w:p w14:paraId="1005E219"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Omówienie z biznesem listy otwartych pytań do modelu uprawnień (questions_for_lukasz.md) i naniesienie odpowiedzi w panelu Uprawnienia (progi, poziomy, widoczność).</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