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2.0</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534754C7" w:rsidR="00BA4AAF" w:rsidRDefault="00F316DB">
            <w:r>
              <w:t>2</w:t>
            </w:r>
            <w:r w:rsidR="00E3624A">
              <w:t>4</w:t>
            </w:r>
            <w:r>
              <w:t xml:space="preserve">.09.2026 - </w:t>
            </w:r>
            <w:r w:rsidR="00A05E03">
              <w:t>13</w:t>
            </w:r>
            <w:r w:rsidR="00A05E03">
              <w:t>.</w:t>
            </w:r>
            <w:r w:rsidR="00A05E03">
              <w:t>10</w:t>
            </w:r>
            <w:r w:rsidR="00A05E03">
              <w:t>.2026</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F24B1A">
            <w:r>
              <w:t>13.10.2026</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2.0</w:t>
            </w:r>
          </w:p>
        </w:tc>
        <w:tc>
          <w:tcPr>
            <w:tcW w:w="2420" w:type="dxa"/>
          </w:tcPr>
          <w:p w14:paraId="3408EBC3" w14:textId="31E190D0" w:rsidR="00DF56CB" w:rsidRDefault="00F316DB">
            <w:r>
              <w:t>2</w:t>
            </w:r>
            <w:r w:rsidR="00E3624A">
              <w:t>4</w:t>
            </w:r>
            <w:r>
              <w:t xml:space="preserve">.09.2026 - </w:t>
            </w:r>
            <w:r w:rsidR="00A05E03">
              <w:t>13</w:t>
            </w:r>
            <w:r w:rsidR="00A05E03">
              <w:t>.</w:t>
            </w:r>
            <w:r w:rsidR="00A05E03">
              <w:t>10</w:t>
            </w:r>
            <w:r w:rsidR="00A05E03">
              <w:t>.2026</w:t>
            </w:r>
          </w:p>
        </w:tc>
        <w:tc>
          <w:tcPr>
            <w:tcW w:w="1550" w:type="dxa"/>
          </w:tcPr>
          <w:p w14:paraId="55495847" w14:textId="542D1DA6" w:rsidR="00DF56CB" w:rsidRDefault="00A05E03">
            <w:r>
              <w:t>13.10.2026</w:t>
            </w:r>
          </w:p>
        </w:tc>
        <w:tc>
          <w:tcPr>
            <w:tcW w:w="3678" w:type="dxa"/>
          </w:tcPr>
          <w:p w14:paraId="79CC7DB9" w14:textId="2291F9DF" w:rsidR="00DF56CB" w:rsidRDefault="00DF56CB">
            <w:r>
              <w:t>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 Odpowiedzi biznesu do modelu uprawnień wdrożone: Head of Projects zastępuje N+1 i N+2, zastępstwo wyższego poziomu, wysyłka tylko przez twórcę oferty, zatwierdzenie ważne 48 h, reguła marży N+2 = 2,1% lub mniej. Widok piramidy w panelu Handlowcy pokazuje zależności: kto komu podlega i kto jest w czyim zespole. Edytowalny cennik dopłat osobno dla każdego typu stali (panel administratora, historia zmian). Odstęp tysięcy (1 000 000) we wszystkich kwotach i tonażach w aplikacji oraz w PDF. Lista powodów przegranej prowadzona przez administratora (panel „Powody przegranej”, cztery języki, archiwizacja), wybór powodu przy przegranej obowiązkowy.</w:t>
            </w:r>
          </w:p>
        </w:tc>
      </w:tr>
      <w:tr w:rsidR="00DF56CB" w14:paraId="4D5F9E99" w14:textId="77777777">
        <w:tc>
          <w:tcPr>
            <w:tcW w:w="1208" w:type="dxa"/>
          </w:tcPr>
          <w:p w14:paraId="054DBCA6" w14:textId="77777777" w:rsidR="00DF56CB" w:rsidRDefault="00000000">
            <w:r>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w:t>
            </w:r>
            <w:r>
              <w:lastRenderedPageBreak/>
              <w:t>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w:t>
            </w:r>
            <w:r>
              <w:lastRenderedPageBreak/>
              <w:t>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w:t>
            </w:r>
            <w:r>
              <w:lastRenderedPageBreak/>
              <w:t xml:space="preserve">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w:t>
            </w:r>
            <w:r>
              <w:lastRenderedPageBreak/>
              <w:t xml:space="preserve">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w:t>
            </w:r>
            <w:r>
              <w:lastRenderedPageBreak/>
              <w:t>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w:t>
            </w:r>
            <w:r>
              <w:lastRenderedPageBreak/>
              <w:t>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w:t>
            </w:r>
            <w:r>
              <w:lastRenderedPageBreak/>
              <w:t xml:space="preserve">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w:t>
            </w:r>
            <w:r>
              <w:lastRenderedPageBreak/>
              <w:t>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w:t>
            </w:r>
            <w:r>
              <w:lastRenderedPageBreak/>
              <w:t>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w:t>
            </w:r>
            <w:r>
              <w:lastRenderedPageBreak/>
              <w:t>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 xml:space="preserve">Poprawki regresji po integracji podczas Deployu (m.in. krytyczny błąd edycji pozycji, przywrócona waga arkusza), ujednolicenie generowania PDF na wersję serwerową, zamknięcie </w:t>
            </w:r>
            <w:r>
              <w:lastRenderedPageBreak/>
              <w:t>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2.0</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Konfigurowalny model uprawnień zamiast stałych ról junior / senior / admin: flowy procesowe, poziomy hierarchii (N0, N+1, N+2, N+3, NPR), role z sześcioma uprawnieniami funkcjonalnymi ustawianymi osobno w każdym flow, przypisania użytkowników do flow, reguły walidacji i macierz widoczności. Dane startowe zgodne z formularzem uprawnień i walidacji ofert z 22.09.2026 (Flow 1 - DYSTR, Flow 2 - PROJEKTY; CEO w Flow 2 na poziomie N+2).</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istniejących kont bez utraty haseł, sesji i historii: junior -&gt; Flow 1 / Internal Front Office, senior -&gt; Flow 1 / Area Sales Manager (zespół zachowany), admin -&gt; Administrator. Wszystkie dotychczasowe oferty przypisane do Flow 1. Nowe konto zakładane przez administratora nie ma dostępu, dopóki nie zostanie przypisane do flow i roli.</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Uprawnienia sprawdzane przy każdym żądaniu na podstawie aktualnej konfiguracji w bazie (w kodzie nie ma już nazw ról). Widoczność ofert egzekwowana po stronie serwera dla list ofert, kolejki walidacji i panelu Analiza. Nikt nie zatwierdza własnej oferty, starsze wersje oferty są tylko do odczytu, żądania zmieniające dane z obcej domeny są odrzucane.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Automatyczne testy silnika reguł (npm test) obejmujące scenariusze T1-T5 z arkusza SYMULATOR oraz przypadki brzegowe (błędne daty ważności, wyzerowana wartość pozycji, eskalacja NPR).</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Serwer sprawdza kompletność i spójność każdej pozycji przy zapisie oferty: gatunek, wymiary, tonaż oraz zgodność kwot (marża = (PGL + Σ Huta) × marża %, cena = PGL + Σ Huta + marża + dopłata + transport + Σ SSC, wartość = cena × tony). Oferta z niespójnymi wartościami jest odrzucana z komunikatem wskazującym pozycję. Przyczyna błędnych ofert testowych „SMOKE” (pozycje bez gatunku i wymiarów, cena 0 €/t przy wartości 100 €); dane testowe przeliczono poprawnie. Testy automatyczne z przykładem liczbowym (645 + 46, marża 7% = 48,37 → cena 814,37 €/t).</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Obieg zatwierdzania według odpowiedzi biznesu z 12.10.2026: Head of Projects zastępuje poziomy N+1 i N+2. W Flow 2 reguła „do N+1” lub „do N+2” trafia do Head of Projects, a CEO przeniesiono na N+3. We Flow 1 przy marży poniżej zakładanej i obniżeniu bazy wystarcza jedna zgoda Head of Projects (obowiązuje najwyższy wymagany poziom); przy wymaganym N+3 potrzebny jest jeszcze CEO. Zakres zastępstwa ustawia się w panelu Role i poziomy.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Zastępstwo: ofertę czekającą na niższy poziom może zatwierdzić każdy wyższy poziom (np. N+2 lub N+3 za N+1). W kolejce i w kalkulatorze widać informację, że wymagana jest tylko walidacja niższego poziomu i nie trzeba jej zatwierdzać.</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Reguła marży N+2: marża 2,1% lub niższa (wcześniej: o 2,1 p.p. poniżej marży zakładanej). Przykład przy celu 4,5%: 4,0% → N+1, 2,4% → N+1 (wcześniej N+2), 2,1% → N+2. Usunięto kolumnę „Priorytet” z reguł (artefakt arkusza źródłowego).</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Jedna osoba pracuje w jednym flow. W kilku flow mogą być tylko role oznaczone w panelu „Może pracować w kilku flow” (Head of Projects, CEO).</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Widoczność: Head of Cluster widzi wszystkie oferty dystrybucji (Flow 1); zatwierdzający widzi zatwierdzoną lub odrzuconą przez siebie ofertę do czasu decyzji klienta.</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031_price_book.sql: tabele price_book_entries (wyłącznie nadpisania wartości domyślnych), steel_grades (316 gatunków zasianych z dotychczasowych tabel, 10 z dopłatą Re) i price_book_log (historia zmian). Do czasu uruchomienia migracji kalkulator działa na wartościach domyślnych bez błędów.</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032_lost_reasons.sql: nowa tabela lost_reasons (nazwa powodu w czterech językach, kolejność, archiwizacja, wbudowany powód „Inne”). Dotychczasowa stała lista kodów powodów przegranej (ograniczenie CHECK z migracji 024) zastąpiona kluczem obcym - istniejące oferty przegrane zachowują swoje powody bez żadnej zmiany danych. Migracja jest bezpieczna do wielokrotnego uruchomienia, a gdyby w bazie był kod spoza listy, zatrzymuje się z czytelnym komunikatem.</w:t>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Pola bazy PGL oraz ceny / marży są zablokowane, gdy rola w danym flow nie ma takiego uprawnienia (np. Front Office we Flow 1 nie zmienia bazy PGL). Serwer odrzuca niedozwoloną zmianę także przy zapisie z pominięciem interfejsu.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Zestawienie: nowa kolumna PGL oraz marża pokazywana jako kwota i procent (np. 73,22 / 7%). Kolumny ceny, tonażu i wartości nie zawijają się na węższych ekranach.</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Edytowalny cennik dopłat: wszystkie dopłaty kalkulatora (opcje huty i SSC, gatunki, matryce wymiarów, powłok, dopłat bazowych, trawienia i łezki, progi awaryjne oraz dopłata Re) są zapisane w bazie osobno dla każdego typu stali (HRS, CR, HDG, PICKLED, TEARDROP, ZM). Zmiana obowiązuje od następnego otwarcia kalkulatora; zapisane i wysłane oferty zachowują swoje ceny i treść PDF.</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Edycja pozycji zapisanej oferty odtwarza wybrane opcje po indeksie i przelicza je wg aktualnego cennika (starsze pozycje bez indeksów są dopasowywane po wartości do cennika domyślnego). Wycofany gatunek na edytowanej pozycji pozostaje do wyboru z oznaczeniem „wycofany”, nowe pozycje widzą tylko aktywne gatunki.</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Aktualizacja przeterminowanego PGL przy otwarciu oferty z poprzedniego kwartału zachowuje zapisane wartości opcji i gatunku pozycji; dopłaty tabelaryczne, których pozycja nie przechowuje (wymiar, powłoka, dopłata bazowa, dopłata Re), są liczone z aktualnego cennika.</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Naprawiono brak możliwości podejrzenia cen i specyfikacji oferty oczekującej na walidację w panelu Starszego handlowca (zgłoszenie testerów). Liczba pozycji oraz link „+N więcej” pod ofertą są teraz klikalne i rozwijają tabelę pozycji: gatunek i wymiary, typ, cena jednostkowa, tony i wartość pozycji, w walucie oferty. Widok i działanie takie same jak na liście „Moje oferty”. Zmiana wyłącznie prezentacyjna - bez wpływu na wyliczenia cen.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Walidacja oferty bezpośrednio z kalkulatora: po wejściu w ofertę oczekującą na weryfikację (przycisk „Edytuj w kalkulatorze”) Starszy handlowiec / Administrator ma na górze przyciski „Zatwierdź” i „Odrzuć” (odrzucenie wymaga powodu). Przy niezapisanych zmianach przyciski są zablokowane z podpowiedzią - decyzja dotyczy zapisanej wersji oferty. Po decyzji następuje powrót do panelu Starszego handlowca.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Informacja o cenie poniżej wytycznych przed walidacją: w panelu Starszego handlowca (oferta oczekująca na weryfikację) oraz w kalkulatorze pod paskiem walidacji pojawia się lista pozycji, które nie spełniają wytycznych, z konkretną wartością i progiem - np. „marża 4% &lt; min 6%” albo „PGL 640 &lt; baza 645”. Reguła jest ta sama, która decyduje o konieczności zatwierdzenia oferty (jedno źródło w kodzie), więc komunikat nie może się rozjechać z wymogiem.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Powód odrzucenia oferty przez klienta jako lista rozwijana: przy oznaczeniu oferty wysłanej jako „Przegrana” zamiast wolnego tekstu pojawia się okno z listą powodów (cena, termin dostawy, wybrał konkurencję, projekt anulowany, brak odpowiedzi klienta, warunki płatności, inne). Wybór jest opcjonalny - brak wyboru zapisuje powód „Inne”, a przy „Inne” można wpisać własny powód. Powód widać w oznaczeniu przy ofercie. Oferty oznaczone wcześniej jako przegrane dostały powód „Inne” (dotychczasowa notatka zostaje). Wymaga uruchomienia migracji 024 na bazie przed wdrożeniem.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Statystyki powodów odrzucenia w panelu Analiza: nowy panel „Powody odrzucenia przez klienta” pod wykresem wygranych i przegranych. Pokazuje, ile ofert (oraz ile ton i jaką wartość) przegrano z każdego powodu, wraz z udziałem procentowym - od najczęstszego powodu. Respektuje filtry panelu (okres, handlowiec, klient, typ stali) i wybraną walutę; przegrane sprzed wprowadzenia listy liczone są jako „Inne”.</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Dostępność nowych okien dialogowych (odrzucenie oferty przez seniora, powód odrzucenia przez klienta): klawisz Tab krąży tylko po elementach okna i nie wychodzi na stronę pod spodem, okno zamyka Escape lub kliknięcie w tło, a po zamknięciu fokus wraca na przycisk, który je otworzył. Pola mają etykiety dla czytników ekranu, a przycisk Anuluj jest zablokowany w trakcie zapisu.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„Dashboard” (🏠) jako pierwsza zakładka głównej nawigacji dla osób walidujących (senior, admin): widoczny zaraz po zalogowaniu i prowadzi do ich panelu (senior – panel walidacji, admin – pulpit). Zastępuje osobne zakładki „Panel Seniora” i „Panel Admina”, które prowadziły do tych samych stron.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Silnik reguł walidacji: przy wysyłce do walidacji wymagany poziom akceptacji to najwyższy poziom spośród spełnionych reguł (marża poniżej zakładanej 4,5% -&gt; N+1, niedobór marży co najmniej 2,1 p.p. -&gt; N+2, obniżenie bazy wyceny -&gt; NPR, termin ważności powyżej 48h, ważność ceny kwartał / dłużej niż kwartał, wartość oferty powyżej 1 000 000 EUR). Reguła NPR to dodatkowa, równoległa akceptacja. Gdy żadna reguła nie jest spełniona albo poziom twórcy ją pokrywa, oferta może wyjść do klienta bez walidacji.</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Kolejka „Do walidacji”: oferta trafia do wszystkich osób z rolą na wymaganym poziomie w danym flow. Walidujący może ofertę edytować (reguły liczą się ponownie i mogą podnieść poziom), odrzucić z instrukcją dla handlowca, zatwierdzić albo zatwierdzić i od razu wysłać do klienta w imieniu handlowca (zapisywane jest, kto wysłał).</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Konflikt konfiguracji (scenariusz T5): gdy reguła wymaga poziomu, którego nie ma w danym flow, oferta jest eskalowana do najbliższego wyższego istniejącego poziomu z widoczną adnotacją. Administrator może zamiast tego wybrać blokadę wysyłki albo eskalację do najwyższego poziomu.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weryfikującego: klikalne kafelki jak w panelu administratora - „Oczekujące na weryfikację”, „Oczekujące na wysłanie” oraz oferty wg statusu. Kliknięcie filtruje listę i przewija do ofert z akcjami (zatwierdź / odrzuć / wyślij).</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Zatwierdzenie oferty ponownie sprawdza aktualne reguły. Wymagany poziom akceptacji jest zapisywany w chwili wysyłki do walidacji, więc po zmianie reguł (a także dla ofert przeniesionych z wersji 1.x z krokiem N+1) niższy poziom mógł zatwierdzić ofertę, która według dzisiejszych reguł wymaga wyższego. Teraz, jeśli reguły wymagają poziomu, którego oferta nie ma, zatwierdzenie nie dochodzi do skutku: oferta jest przekierowana na właściwy poziom, a walidujący widzi komunikat. Kroki już zatwierdzone (np. NPR) pozostają ważne, a poziom nigdy nie jest obniżany. Przykład: oferta wysłana przy marży 4,0% (niedobór 0,5 pp -&gt; N+1), a dziś z marżą 2,4% (niedobór 2,1 pp) wymaga N+2 - ASM nie może jej już zatwierdzić. Na danych testowych dotyczy to 6 starszych ofert, które trafiłyby do N+2 + NPR.</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Nie dało się wejść w ofertę już wysłaną do klienta - kliknięcie wiersza na liście „Moje oferty” (oraz w panelu administratora, także w poprzednich wersjach) nic nie robiło. Teraz każda widoczna oferta się otwiera; oferta wysłana otwiera się w kalkulatorze w trybie „Podgląd (tylko do odczytu)”: szary pasek informacyjny, bez przycisku Zapisz, eksport PDF / Excel nadal dostępny, a przeglądanie nie wywołuje ostrzeżenia o niezapisanych zmianach.</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Renegocjacja oferty przegranej: ofertę oznaczoną jako „Przegrana” (najnowszą wersję) można edytować - właściciel lub administrator. Kalkulator pokazuje pomarańczowy pasek „Renegocjacja”, a zapis tworzy nową wersję tej samej oferty (np. offer_30 -&gt; offer_30.1) jako szkic z decyzją klienta wyzerowaną do „oczekuje”; nowa runda przechodzi zwykłą walidację i wysyłkę. Oferty wygrane, oczekujące na odpowiedź klienta i starsze wersje pozostają tylko do odczytu (blokada także po stronie serwera), a decyzję klienta można zapisać wyłącznie na najnowszej wersji.</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Analityka liczy renegocjację jako jedną ofertę: cała rodzina wersji to jedna oferta, a jej wynik to wynik ostatniej rundy. Przykład: 3 rundy przegrane i 4. wygrana = 1 oferta wygrana (tonaż i wartość z ostatniej wersji); 4 rundy przegrane = 1 oferta przegrana. Liczniki ofert w panelu Handlowcy (łącznie / oczekujące / wysłane) również liczą rodziny ofert zamiast pojedynczych wersji. Zweryfikowano testem end-to-end (47 sprawdzeń) i porównaniem z bazą danych.</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Do klienta wysyła wyłącznie handlowiec, który stworzył ofertę. Zatwierdzający (także administrator) może ofertę poprawić, zatwierdzić lub odrzucić, ale jej nie wysyła; oferta w statystykach należy do twórcy. Usunięto przycisk „Zatwierdź i wyślij do klienta”.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Zatwierdzenie jest ważne 48 godzin od ostatniej wymaganej zgody (liczbę godzin ustawia administrator w panelu Reguły). Po tym czasie, albo gdy reguły lub PGL zmienią się tak, że oferta wymaga wyższego poziomu, oferta ma wyraźne oznaczenie i wraca do weryfikacji przyciskiem „Wyślij do weryfikacji”. Gdy reguły się poluzowały, zatwierdzenie zostaje ważne, a oferta ma informację o zmianie reguł.</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Pasek walidacji w kalkulatorze jest teraz wyraźnie widoczny: nagłówek „Ta oferta czeka na Twoją decyzję”, pod nim wymagane poziomy akceptacji oraz duże przyciski Zatwierdź / Odrzuć. Po zatwierdzeniu lub odrzuceniu kalkulator wraca do listy, z której otwarto ofertę (Moje oferty, panel weryfikującego albo Oferty w panelu administratora) - wcześniej zawsze przenosił do panelu weryfikującego.</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Powód przegranej jest teraz obowiązkowy: przy oznaczeniu oferty wysłanej jako „Przegrana” handlowiec musi wybrać powód z listy prowadzonej przez administratora (wcześniej mógł go pominąć i oferta trafiała do „Inne”). Przy powodzie „Inne” wymagany jest opis, przy pozostałych komentarz jest opcjonalny. Błąd pokazuje się w oknie, przy właściwym polu. Nazwa powodu widoczna w statusie oferty.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Panel Analiza - „Powody odrzucenia przez klienta” korzysta z listy administratora: nazwy i kolejność z panelu „Powody przegranej”. Powody zarchiwizowane nadal są liczone dla starych ofert (oznaczone „archiwalny”), więc udziały wciąż sumują się do 100%. Przykład: 4 przegrane oferty - 2 × „Cena” (15 t, 12 000 €) = 50%, 1 × „Termin dostawy” (archiwalny) = 25%, 1 × inny powód = 25%.</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Pole „Przygotował” na PDF zapisanej oferty to zawsze handlowiec, który ją stworzył - także gdy PDF pobiera zatwierdzający lub administrator.</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Oferta PDF: odstęp tysięcy w ilości (t), cenie za tonę, wartości pozycji oraz w łącznym tonażu i wartości oferty (np. 873 330 zł). Zwykła spacja nierozdzielna, obsługiwana przez każdą czcionkę w zewnętrznej usłudze generującej PDF.</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„Uprawnienia” w panelu administratora: flowy i ich członkowie, role i poziomy hierarchii z uprawnieniami, edytor reguł walidacji z kontrolą kompletności konfiguracji (progi „do uzupełnienia”), symulator wymaganej walidacji z gotowymi scenariuszami T1-T5 oraz macierz widoczności z wyliczanym na bieżąco efektywnym zakresem.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Handlowcy: przypisanie osoby do roli w każdym flow, przełącznik Administratora, filtr po flow oraz widok piramidy (struktura organizacyjna flow: poziomy N0-N+3, NPR jako poziom równoległy, Administrator poza piramidą).</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Widok piramidy w panelu Handlowcy pokazuje, kto komu podlega: każda osoba to osobna karta na swoim poziomie, a linie łączą lidera zespołu z członkami jego zespołu (osoba w kilku zespołach ma kilka linii). Kliknięcie osoby podświetla całą jej ścieżkę - przełożonych w górę i zespół w dół - oraz pokazuje „Podlega: …” i liczebność zespołu. Osoby poniżej najwyższego poziomu bez lidera zespołu są oznaczone „Bez lidera zespołu”. Widok tabeli bez zmian; obsługa z klawiatury, cztery języki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Przełącznik aktywnego flow w nawigacji dla osób przypisanych do kilku flow oraz plakietka z rolą i poziomem. Nowe teksty interfejsu w czterech językach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 Ustawienia obok flag języka na każdej stronie - skrót do ustawień dla administratora, od razu po zalogowaniu.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„Cennik dopłat” (/admin/cennik, tylko superużytkownik): zakładka dla każdego typu stali, sekcje Gatunki (wyszukiwanie, dodawanie, wycofywanie i przywracanie, dopłata Re), Opcje huty, Opcje SSC, Matryce oraz Progi. Zmienione pola są wyróżnione, zapis wysyła tylko różnice danego typu, a każda zmiana trafia do historii (kto, kiedy, stara → nowa wartość). Wejście z menu administratora, Pulpitu i Ustawień; etykiety w 4 językach.</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Odstęp tysięcy we wszystkich kwotach i tonażach w aplikacji (np. 1 000 000 zamiast 1000000) - kalkulator, transport, zestawienie, listy ofert, panel weryfikującego, Analiza i Handlowcy. Wąska, nierozdzielna spacja (liczba nigdy nie łamie się między wierszami); w Analizie ten sam odstęp w każdym języku zamiast przecinków w wersji angielskiej, separator dziesiętny bez zmian. Tylko wyświetlanie: pola do wpisywania, zapis oferty, eksport do Excela/CSV i wyliczenia (w tym zaokrąglenie ceny końcowej w górę) bez zmian. Wymiary w mm zostają bez odstępów.</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„Powody przegranej” (/admin/powody-przegranej, tylko superużytkownik): dodawanie powodów (nazwa wymagana po polsku, angielsku, czesku i niemiecku), zmiana nazwy, kolejność na liście wyboru, archiwizacja i przywracanie, liczba ofert przegranych z danego powodu. Archiwizacja ukrywa powód przy nowych ofertach, ale stare oferty i statystyki go zachowują; „Inne” jest wbudowane i zawsze ostatnie. Na start: dotychczasowe 7 powodów oraz nowy „Konkurencja była szybsza”.</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lastRenderedPageBreak/>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1005E219"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1005E219"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1005E219" w14:textId="77777777" w:rsidR="00350740" w:rsidRPr="00C2208F" w:rsidRDefault="006F108A">
      <w:pPr>
        <w:pStyle w:val="Listapunktowana"/>
      </w:pPr>
      <w:r>
        <w:t>Struktura oddziałów i regionów (kto zatwierdza ofertę konkretnego handlowca, zakres widoczności oddziału / regionu) czeka na Excel od biznesu. Pozostałe pytania do formularza uprawnień zostały rozstrzygnięte i wdrożone („Historia wersji oraz md/questions_for_lukasz.md”).</w:t>
      </w:r>
    </w:p>
    <w:p w14:paraId="1005E219"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69EDB93A"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69EDB93A" w14:textId="77777777" w:rsidR="00A14329" w:rsidRDefault="00250F91">
      <w:pPr>
        <w:pStyle w:val="Listapunktowana"/>
      </w:pPr>
      <w:r>
        <w:t>Po otrzymaniu Excela z oddziałami i regionami: zbudowanie struktury organizacyjnej w aplikacji i kierowanie ofert do właściwego kierownika zamiast wspólnej kolejki.</w:t>
      </w:r>
    </w:p>
    <w:p w14:paraId="69EDB93A" w14:textId="77777777" w:rsidR="00A14329" w:rsidRDefault="00250F91">
      <w:pPr>
        <w:pStyle w:val="Listapunktowana"/>
      </w:pPr>
      <w:r>
        <w:t>Uruchomienie migracji 031_price_book.sql na produkcji przy wdrożeniu 2.0, a następnie przegląd cennika dopłat przez biznes w panelu „Cennik dopłat” (Pulpit administratora).</w:t>
      </w:r>
    </w:p>
    <w:p w14:paraId="69EDB93A" w14:textId="77777777" w:rsidR="00A14329" w:rsidRDefault="00250F91">
      <w:pPr>
        <w:pStyle w:val="Listapunktowana"/>
      </w:pPr>
      <w:r>
        <w:t>Uruchomienie migracji 032_lost_reasons.sql na produkcji przy wdrożeniu 2.0 (po 031), a następnie przegląd listy powodów przegranej przez biznes w panelu „Powody przegranej” (np. czy dodać „Cena za wysoka” jako osobny powód obok „Cena”).</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FD7F" w14:textId="77777777" w:rsidR="00455D23" w:rsidRDefault="00455D23">
      <w:pPr>
        <w:spacing w:after="0" w:line="240" w:lineRule="auto"/>
      </w:pPr>
      <w:r>
        <w:separator/>
      </w:r>
    </w:p>
  </w:endnote>
  <w:endnote w:type="continuationSeparator" w:id="0">
    <w:p w14:paraId="3B4E1423" w14:textId="77777777" w:rsidR="00455D23" w:rsidRDefault="0045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9DD2" w14:textId="77777777" w:rsidR="00455D23" w:rsidRDefault="00455D23">
      <w:pPr>
        <w:spacing w:after="0" w:line="240" w:lineRule="auto"/>
      </w:pPr>
      <w:r>
        <w:separator/>
      </w:r>
    </w:p>
  </w:footnote>
  <w:footnote w:type="continuationSeparator" w:id="0">
    <w:p w14:paraId="4E078705" w14:textId="77777777" w:rsidR="00455D23" w:rsidRDefault="0045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13</Pages>
  <Words>2830</Words>
  <Characters>16986</Characters>
  <Application>Microsoft Office Word</Application>
  <DocSecurity>0</DocSecurity>
  <Lines>141</Lines>
  <Paragraphs>39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37</cp:revision>
  <dcterms:created xsi:type="dcterms:W3CDTF">2026-07-08T11:11:00Z</dcterms:created>
  <dcterms:modified xsi:type="dcterms:W3CDTF">2026-09-23T11:10:00Z</dcterms:modified>
  <cp:category/>
</cp:coreProperties>
</file>