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Obieg zatwierdzania według odpowiedzi biznesu z 12.10.2026: Head of Projects zastępuje poziomy N+1 i N+2. W Flow 2 reguła „do N+1” lub „do N+2” trafia do Head of Projects, a CEO przeniesiono na N+3. We Flow 1 przy marży poniżej zakładanej i obniżeniu bazy wystarcza jedna zgoda Head of Projects (obowiązuje najwyższy wymagany poziom); przy wymaganym N+3 potrzebny jest jeszcze CEO. Zakres zastępstwa ustawia się w panelu Role i poziomy.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Zastępstwo: ofertę czekającą na niższy poziom może zatwierdzić każdy wyższy poziom (np. N+2 lub N+3 za N+1). W kolejce i w kalkulatorze widać informację, że wymagana jest tylko walidacja niższego poziomu i nie trzeba jej zatwierdzać.</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Reguła marży N+2: marża 2,1% lub niższa (wcześniej: o 2,1 p.p. poniżej marży zakładanej). Przykład przy celu 4,5%: 4,0% → N+1, 2,4% → N+1 (wcześniej N+2), 2,1% → N+2. Usunięto kolumnę „Priorytet” z reguł (artefakt arkusza źródłowego).</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Jedna osoba pracuje w jednym flow. W kilku flow mogą być tylko role oznaczone w panelu „Może pracować w kilku flow” (Head of Projects, CEO).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Widoczność: Head of Cluster widzi wszystkie oferty dystrybucji (Flow 1); zatwierdzający widzi zatwierdzoną lub odrzuconą przez siebie ofertę do czasu decyzji klienta.</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031_price_book.sql: tabele price_book_entries (wyłącznie nadpisania wartości domyślnych), steel_grades (316 gatunków zasianych z dotychczasowych tabel, 10 z dopłatą Re) i price_book_log (historia zmian). Do czasu uruchomienia migracji kalkulator działa na wartościach domyślnych bez błędów.</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Edytowalny cennik dopłat: wszystkie dopłaty kalkulatora (opcje huty i SSC, gatunki, matryce wymiarów, powłok, dopłat bazowych, trawienia i łezki, progi awaryjne oraz dopłata Re) są zapisane w bazie osobno dla każdego typu stali (HRS, CR, HDG, PICKLED, TEARDROP, ZM). Zmiana obowiązuje od następnego otwarcia kalkulatora; zapisane i wysłane oferty zachowują swoje ceny i treść PDF.</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Edycja pozycji zapisanej oferty odtwarza wybrane opcje po indeksie i przelicza je wg aktualnego cennika (starsze pozycje bez indeksów są dopasowywane po wartości do cennika domyślnego). Wycofany gatunek na edytowanej pozycji pozostaje do wyboru z oznaczeniem „wycofany”, nowe pozycje widzą tylko aktywne gatunki.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Aktualizacja przeterminowanego PGL przy otwarciu oferty z poprzedniego kwartału zachowuje zapisane wartości opcji i gatunku pozycji; dopłaty tabelaryczne, których pozycja nie przechowuje (wymiar, powłoka, dopłata bazowa, dopłata Re), są liczone z aktualnego cennika.</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Do klienta wysyła wyłącznie handlowiec, który stworzył ofertę. Zatwierdzający (także administrator) może ofertę poprawić, zatwierdzić lub odrzucić, ale jej nie wysyła; oferta w statystykach należy do twórcy. Usunięto przycisk „Zatwierdź i wyślij do klienta”.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Zatwierdzenie jest ważne 48 godzin od ostatniej wymaganej zgody (liczbę godzin ustawia administrator w panelu Reguły). Po tym czasie, albo gdy reguły lub PGL zmienią się tak, że oferta wymaga wyższego poziomu, oferta ma wyraźne oznaczenie i wraca do weryfikacji przyciskiem „Wyślij do weryfikacji”. Gdy reguły się poluzowały, zatwierdzenie zostaje ważne, a oferta ma informację o zmianie reguł.</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Pole „Przygotował” na PDF zapisanej oferty to zawsze handlowiec, który ją stworzył - także gdy PDF pobiera zatwierdzający lub administrator.</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Widok piramidy w panelu Handlowcy pokazuje, kto komu podlega: każda osoba to osobna karta na swoim poziomie, a linie łączą lidera zespołu z członkami jego zespołu (osoba w kilku zespołach ma kilka linii). Kliknięcie osoby podświetla całą jej ścieżkę - przełożonych w górę i zespół w dół - oraz pokazuje „Podlega: …” i liczebność zespołu. Osoby poniżej najwyższego poziomu bez lidera zespołu są oznaczone „Bez lidera zespołu”. Widok tabeli bez zmian; obsługa z klawiatury, cztery języki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„Cennik dopłat” (/admin/cennik, tylko superużytkownik): zakładka dla każdego typu stali, sekcje Gatunki (wyszukiwanie, dodawanie, wycofywanie i przywracanie, dopłata Re), Opcje huty, Opcje SSC, Matryce oraz Progi. Zmienione pola są wyróżnione, zapis wysyła tylko różnice danego typu, a każda zmiana trafia do historii (kto, kiedy, stara → nowa wartość). Wejście z menu administratora, Pulpitu i Ustawień; etykiety w 4 językach.</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69EDB93A" w14:textId="77777777" w:rsidR="00A14329" w:rsidRDefault="00250F91">
      <w:pPr>
        <w:pStyle w:val="Listapunktowana"/>
      </w:pPr>
      <w:r>
        <w:t>Uruchomienie migracji 031_price_book.sql na produkcji przy wdrożeniu 2.0, a następnie przegląd cennika dopłat przez biznes w panelu „Cennik dopłat” (Pulpit administratora).</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