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FC47C7" w14:textId="77777777" w:rsidR="00BA4AAF" w:rsidRDefault="00250F91">
      <w:r>
        <w:rPr>
          <w:b/>
          <w:color w:val="1F2A44"/>
          <w:sz w:val="56"/>
        </w:rPr>
        <w:t>AMSteel Quote</w:t>
      </w:r>
    </w:p>
    <w:p w14:paraId="645A6885" w14:textId="77777777" w:rsidR="00BA4AAF" w:rsidRDefault="00250F91">
      <w:pPr>
        <w:pBdr>
          <w:bottom w:val="single" w:sz="12" w:space="4" w:color="2B57A6"/>
        </w:pBdr>
        <w:spacing w:after="280"/>
      </w:pPr>
      <w:r>
        <w:rPr>
          <w:color w:val="2B57A6"/>
          <w:sz w:val="30"/>
        </w:rPr>
        <w:t>Raport wersji / Dziennik zmian</w:t>
      </w:r>
    </w:p>
    <w:tbl>
      <w:tblPr>
        <w:tblW w:w="0" w:type="auto"/>
        <w:tblLook w:val="04A0" w:firstRow="1" w:lastRow="0" w:firstColumn="1" w:lastColumn="0" w:noHBand="0" w:noVBand="1"/>
      </w:tblPr>
      <w:tblGrid>
        <w:gridCol w:w="3118"/>
        <w:gridCol w:w="5669"/>
      </w:tblGrid>
      <w:tr w:rsidR="00BA4AAF" w14:paraId="7D5A043B" w14:textId="77777777">
        <w:tc>
          <w:tcPr>
            <w:tcW w:w="3118" w:type="dxa"/>
          </w:tcPr>
          <w:p w14:paraId="7B68B53E" w14:textId="77777777" w:rsidR="00BA4AAF" w:rsidRDefault="00250F91">
            <w:r>
              <w:rPr>
                <w:b/>
                <w:color w:val="1F2A44"/>
              </w:rPr>
              <w:t>Programista:</w:t>
            </w:r>
          </w:p>
        </w:tc>
        <w:tc>
          <w:tcPr>
            <w:tcW w:w="5669" w:type="dxa"/>
          </w:tcPr>
          <w:p w14:paraId="7AFE002F" w14:textId="77777777" w:rsidR="00BA4AAF" w:rsidRDefault="00250F91">
            <w:r>
              <w:rPr>
                <w:color w:val="1F2A44"/>
              </w:rPr>
              <w:t>Mateusz Mazur</w:t>
            </w:r>
          </w:p>
        </w:tc>
      </w:tr>
      <w:tr w:rsidR="00BA4AAF" w14:paraId="7987C2B0" w14:textId="77777777">
        <w:tc>
          <w:tcPr>
            <w:tcW w:w="3118" w:type="dxa"/>
          </w:tcPr>
          <w:p w14:paraId="016140B3" w14:textId="77777777" w:rsidR="00BA4AAF" w:rsidRDefault="00250F91">
            <w:r>
              <w:rPr>
                <w:b/>
                <w:color w:val="1F2A44"/>
              </w:rPr>
              <w:t>Wersja:</w:t>
            </w:r>
          </w:p>
        </w:tc>
        <w:tc>
          <w:tcPr>
            <w:tcW w:w="5669" w:type="dxa"/>
          </w:tcPr>
          <w:p w14:paraId="0AFBD0D9" w14:textId="77777777" w:rsidR="00BA4AAF" w:rsidRDefault="00250F91">
            <w:r>
              <w:rPr>
                <w:color w:val="1F2A44"/>
              </w:rPr>
              <w:t>2.0</w:t>
            </w:r>
          </w:p>
        </w:tc>
      </w:tr>
      <w:tr w:rsidR="00BA4AAF" w14:paraId="3F502BF5" w14:textId="77777777">
        <w:tc>
          <w:tcPr>
            <w:tcW w:w="3118" w:type="dxa"/>
          </w:tcPr>
          <w:p w14:paraId="6844C592" w14:textId="77777777" w:rsidR="00BA4AAF" w:rsidRDefault="00250F91">
            <w:r>
              <w:rPr>
                <w:b/>
                <w:color w:val="1F2A44"/>
              </w:rPr>
              <w:t>Okres developmentu:</w:t>
            </w:r>
          </w:p>
        </w:tc>
        <w:tc>
          <w:tcPr>
            <w:tcW w:w="5669" w:type="dxa"/>
          </w:tcPr>
          <w:p w14:paraId="315C5C5D" w14:textId="534754C7" w:rsidR="00BA4AAF" w:rsidRDefault="00F316DB">
            <w:r>
              <w:t>2</w:t>
            </w:r>
            <w:r w:rsidR="00E3624A">
              <w:t>4</w:t>
            </w:r>
            <w:r>
              <w:t xml:space="preserve">.09.2026 - </w:t>
            </w:r>
            <w:r w:rsidR="00A05E03">
              <w:t>13</w:t>
            </w:r>
            <w:r w:rsidR="00A05E03">
              <w:t>.</w:t>
            </w:r>
            <w:r w:rsidR="00A05E03">
              <w:t>10</w:t>
            </w:r>
            <w:r w:rsidR="00A05E03">
              <w:t>.2026</w:t>
            </w:r>
          </w:p>
        </w:tc>
      </w:tr>
      <w:tr w:rsidR="00BA4AAF" w14:paraId="460EDD92" w14:textId="77777777">
        <w:tc>
          <w:tcPr>
            <w:tcW w:w="3118" w:type="dxa"/>
          </w:tcPr>
          <w:p w14:paraId="01B33D7C" w14:textId="77777777" w:rsidR="00BA4AAF" w:rsidRDefault="00250F91">
            <w:r>
              <w:rPr>
                <w:b/>
                <w:color w:val="1F2A44"/>
              </w:rPr>
              <w:t>Data raportu:</w:t>
            </w:r>
          </w:p>
        </w:tc>
        <w:tc>
          <w:tcPr>
            <w:tcW w:w="5669" w:type="dxa"/>
          </w:tcPr>
          <w:p w14:paraId="544A6B9A" w14:textId="7E4917A5" w:rsidR="00BA4AAF" w:rsidRDefault="00F24B1A">
            <w:r>
              <w:t>13.10.2026</w:t>
            </w:r>
          </w:p>
        </w:tc>
      </w:tr>
    </w:tbl>
    <w:p w14:paraId="435706BA" w14:textId="77777777" w:rsidR="00BA4AAF" w:rsidRDefault="00BA4AAF"/>
    <w:p w14:paraId="7CA9DB7E" w14:textId="77777777" w:rsidR="00BA4AAF" w:rsidRDefault="00250F91">
      <w:pPr>
        <w:spacing w:before="280" w:after="120"/>
      </w:pPr>
      <w:r>
        <w:rPr>
          <w:b/>
          <w:color w:val="1F2A44"/>
          <w:sz w:val="28"/>
        </w:rPr>
        <w:t>Historia wersji</w:t>
      </w:r>
    </w:p>
    <w:p w14:paraId="1B566D62" w14:textId="77777777" w:rsidR="00BA4AAF" w:rsidRDefault="00250F91">
      <w:r>
        <w:rPr>
          <w:i/>
          <w:color w:val="666666"/>
          <w:sz w:val="19"/>
        </w:rPr>
        <w:t>Pełny rejestr wszystkich wydanych wersji - najnowsza na górze.</w:t>
      </w:r>
    </w:p>
    <w:tbl>
      <w:tblPr>
        <w:tblStyle w:val="Tabela-Siatka"/>
        <w:tblW w:w="0" w:type="auto"/>
        <w:tblLook w:val="04A0" w:firstRow="1" w:lastRow="0" w:firstColumn="1" w:lastColumn="0" w:noHBand="0" w:noVBand="1"/>
      </w:tblPr>
      <w:tblGrid>
        <w:gridCol w:w="1208"/>
        <w:gridCol w:w="2420"/>
        <w:gridCol w:w="1550"/>
        <w:gridCol w:w="3678"/>
      </w:tblGrid>
      <w:tr w:rsidR="00BA4AAF" w14:paraId="5EBA704F" w14:textId="77777777" w:rsidTr="006F108A">
        <w:tc>
          <w:tcPr>
            <w:tcW w:w="1226" w:type="dxa"/>
            <w:shd w:val="clear" w:color="auto" w:fill="2B57A6"/>
          </w:tcPr>
          <w:p w14:paraId="5DAEFEC6" w14:textId="77777777" w:rsidR="00BA4AAF" w:rsidRDefault="00250F91">
            <w:r>
              <w:rPr>
                <w:b/>
                <w:color w:val="FFFFFF"/>
              </w:rPr>
              <w:t>Wersja</w:t>
            </w:r>
          </w:p>
        </w:tc>
        <w:tc>
          <w:tcPr>
            <w:tcW w:w="2481" w:type="dxa"/>
            <w:shd w:val="clear" w:color="auto" w:fill="2B57A6"/>
          </w:tcPr>
          <w:p w14:paraId="1D70D849" w14:textId="77777777" w:rsidR="00BA4AAF" w:rsidRDefault="00250F91">
            <w:r>
              <w:rPr>
                <w:b/>
                <w:color w:val="FFFFFF"/>
              </w:rPr>
              <w:t>Okres</w:t>
            </w:r>
          </w:p>
        </w:tc>
        <w:tc>
          <w:tcPr>
            <w:tcW w:w="1568" w:type="dxa"/>
            <w:shd w:val="clear" w:color="auto" w:fill="2B57A6"/>
          </w:tcPr>
          <w:p w14:paraId="0D2620A5" w14:textId="77777777" w:rsidR="00BA4AAF" w:rsidRDefault="00250F91">
            <w:r>
              <w:rPr>
                <w:b/>
                <w:color w:val="FFFFFF"/>
              </w:rPr>
              <w:t>Data</w:t>
            </w:r>
          </w:p>
        </w:tc>
        <w:tc>
          <w:tcPr>
            <w:tcW w:w="3581" w:type="dxa"/>
            <w:shd w:val="clear" w:color="auto" w:fill="2B57A6"/>
          </w:tcPr>
          <w:p w14:paraId="0ABF0F4B" w14:textId="77777777" w:rsidR="00BA4AAF" w:rsidRDefault="00250F91">
            <w:r>
              <w:rPr>
                <w:b/>
                <w:color w:val="FFFFFF"/>
              </w:rPr>
              <w:t>Krótkie podsumowanie zmian</w:t>
            </w:r>
          </w:p>
        </w:tc>
      </w:tr>
      <w:tr w:rsidR="00DF56CB" w14:paraId="35000B8F" w14:textId="77777777">
        <w:tc>
          <w:tcPr>
            <w:tcW w:w="1208" w:type="dxa"/>
          </w:tcPr>
          <w:p w14:paraId="31736C27" w14:textId="77777777" w:rsidR="00DF56CB" w:rsidRDefault="00000000">
            <w:r>
              <w:t>2.0</w:t>
            </w:r>
          </w:p>
        </w:tc>
        <w:tc>
          <w:tcPr>
            <w:tcW w:w="2420" w:type="dxa"/>
          </w:tcPr>
          <w:p w14:paraId="3408EBC3" w14:textId="31E190D0" w:rsidR="00DF56CB" w:rsidRDefault="00F316DB">
            <w:r>
              <w:t>2</w:t>
            </w:r>
            <w:r w:rsidR="00E3624A">
              <w:t>4</w:t>
            </w:r>
            <w:r>
              <w:t xml:space="preserve">.09.2026 - </w:t>
            </w:r>
            <w:r w:rsidR="00A05E03">
              <w:t>13</w:t>
            </w:r>
            <w:r w:rsidR="00A05E03">
              <w:t>.</w:t>
            </w:r>
            <w:r w:rsidR="00A05E03">
              <w:t>10</w:t>
            </w:r>
            <w:r w:rsidR="00A05E03">
              <w:t>.2026</w:t>
            </w:r>
          </w:p>
        </w:tc>
        <w:tc>
          <w:tcPr>
            <w:tcW w:w="1550" w:type="dxa"/>
          </w:tcPr>
          <w:p w14:paraId="55495847" w14:textId="542D1DA6" w:rsidR="00DF56CB" w:rsidRDefault="00A05E03">
            <w:r>
              <w:t>13.10.2026</w:t>
            </w:r>
          </w:p>
        </w:tc>
        <w:tc>
          <w:tcPr>
            <w:tcW w:w="3678" w:type="dxa"/>
          </w:tcPr>
          <w:p w14:paraId="79CC7DB9" w14:textId="2291F9DF" w:rsidR="00DF56CB" w:rsidRDefault="00DF56CB">
            <w:r>
              <w:t>Panel Starszego handlowca: rozwijana tabela pozycji z cenami oraz lista pozycji poniżej wytycznych (marża / PGL). Walidacja (zatwierdź / odrzuć) także z poziomu kalkulatora. Powód odrzucenia oferty przez klienta jako lista rozwijana (z opcją „Inne” i własnym tekstem). Statystyki powodów odrzucenia w panelu Analiza. Przebudowa uprawnień: konfigurowalne flowy, role, poziomy hierarchii, reguły walidacji z symulatorem i macierz widoczności (panel „Uprawnienia”). Kafelki statusów w panelu weryfikującego, kolumna PGL i marża % w zestawieniu, skrót do ustawień dla administratora, walidacja spójności pozycji oferty po stronie serwera. Oferty wysłane da się otworzyć w trybie podglądu; ofertę przegraną można renegocjować jako kolejną wersję tej samej oferty, a analityka liczy całą renegocjację jako jedną ofertę (wynik ostatniej rundy). Odpowiedzi biznesu do modelu uprawnień wdrożone: Head of Projects zastępuje N+1 i N+2, zastępstwo wyższego poziomu, wysyłka tylko przez twórcę oferty, zatwierdzenie ważne 48 h, reguła marży N+2 = 2,1% lub mniej.</w:t>
            </w:r>
          </w:p>
        </w:tc>
      </w:tr>
      <w:tr w:rsidR="00DF56CB" w14:paraId="4D5F9E99" w14:textId="77777777">
        <w:tc>
          <w:tcPr>
            <w:tcW w:w="1208" w:type="dxa"/>
          </w:tcPr>
          <w:p w14:paraId="054DBCA6" w14:textId="77777777" w:rsidR="00DF56CB" w:rsidRDefault="00000000">
            <w:r>
              <w:t>1.9</w:t>
            </w:r>
          </w:p>
        </w:tc>
        <w:tc>
          <w:tcPr>
            <w:tcW w:w="2420" w:type="dxa"/>
          </w:tcPr>
          <w:p w14:paraId="124AED1F" w14:textId="77777777" w:rsidR="00DF56CB" w:rsidRDefault="00F316DB">
            <w:r>
              <w:t>21.09.2026 -</w:t>
            </w:r>
            <w:r w:rsidR="00AF3020">
              <w:t xml:space="preserve"> 24.09.2026</w:t>
            </w:r>
          </w:p>
        </w:tc>
        <w:tc>
          <w:tcPr>
            <w:tcW w:w="1550" w:type="dxa"/>
          </w:tcPr>
          <w:p w14:paraId="5F77764E" w14:textId="77777777" w:rsidR="00DF56CB" w:rsidRDefault="00AF3020">
            <w:r>
              <w:t>24.09.2026</w:t>
            </w:r>
          </w:p>
        </w:tc>
        <w:tc>
          <w:tcPr>
            <w:tcW w:w="3678" w:type="dxa"/>
          </w:tcPr>
          <w:p w14:paraId="05028972" w14:textId="77777777" w:rsidR="00DF56CB" w:rsidRDefault="00DF56CB">
            <w:r>
              <w:t xml:space="preserve">Naprawiono podatność XSS w komunikatach ostrzegawczych kalkulatora o grubości/szerokości poza zakresem tabeli - wartości wstawiane do tych komunikatów (wcześniej bez oczyszczenia, przez dangerouslySetInnerHTML) są teraz oczyszczane (funkcja formatWarning w lib/translations.ts). Na liście „Moje oferty” dodano linię z firmą klienta i numerem SAP bezpośrednio pod numerem oferty, nad nazwą własną oferty, z placeholderem dla ofert bez jeszcze uzupełnionych danych klienta; zmiana obejmuje wszystkie 4 języki interfejsu. Wyszukiwarka i sortowanie na liście ofert rozszerzone o firmę klienta i numer SAP ID (dodatkowo w panelach Starszego handlowca i Administratora pojawiło się sortowanie, którego wcześniej tam w ogóle nie było). Plakietka statusu na liście „Moje oferty” skrócona - powód odrzucenia/przegranej pokazuje się teraz zwięźle obok numeru oferty </w:t>
            </w:r>
            <w:r>
              <w:lastRenderedPageBreak/>
              <w:t>zamiast w osobnym dużym czerwonym bloku pod nazwą firmy. W Zestawieniu dodano widoczną plakietkę z kosztem transportu pozycji z listy i naprawiono zaniżanie stawki transportu €/t na już dodanych pozycjach, powodowane przez niedodany jeszcze szkic kolejnej pozycji w formularzu kalkulatora. Poprawiono też responsywność całej aplikacji na wąskich ekranach telefonu w orientacji pionowej (ok. 375 px szerokości) - nagłówki i nawigację, kalkulator, listę „Moje oferty”, panele administratora oraz panel Analiza i Starszego handlowca; widok na komputerze i w poziomej orientacji telefonu pozostaje bez zmian. Zamieniono też termin płatności w kalkulatorze i panelu klientów z pary pól dat na przyciski gotowych wartości dni (0/</w:t>
            </w:r>
            <w:r w:rsidR="003033AA">
              <w:t>2/</w:t>
            </w:r>
            <w:r>
              <w:t>15/30/45/60/90 lub własna liczba)</w:t>
            </w:r>
            <w:r w:rsidR="003033AA">
              <w:t xml:space="preserve"> </w:t>
            </w:r>
            <w:r>
              <w:t xml:space="preserve">i naprawiono zawijanie się symbolu waluty w PDF przy bardzo dużych kwotach (powyżej 1 000 000 €). Okres ważności oferty dostał te same gotowe przyciski (Q1–Q4/„Ten miesiąc”/„Niestandardowy”) co termin płatności, z domyślnym okresem i 2-dniowym terminem dla nowej oferty bez klienta; przywrócono też do stopki PDF linijkę o 48-godzinnej ważności oferty, teraz liczoną z wybranego terminu płatności zamiast na sztywno. Naprawiono też analogiczne do walutowego ucinanie bardzo dużych wartości tonażu w PDF. Okres ważności oferty: przyciski Q1–Q4 pokazują teraz tylko kwartały wybranego roku, które jeszcze się nie zakończyły – dla roku bieżącego znikają więc już minione kwartały (np. we wrześniu widoczne są tylko Q3 i Q4), tak by handlowiec nie mógł wystawić nowej oferty z okresem ważności całkowicie w przeszłości; nowo odslonięte kwartały po zmianie na kolejny rok pojawiają się z krótką </w:t>
            </w:r>
            <w:r>
              <w:lastRenderedPageBreak/>
              <w:t>animacją zamiast skokowo. Panel „Analiza” zyskał zamykalne plakietki aktywnego zawężenia (handlowiec/typ stali/status/decyzja klienta/firma) widoczne zarówno w zbiorczym pasku na górze, jak i przy powiązanym panelu oraz eksporcie do Excela. Panel „Handlowcy” administratora dostał zakładki filtrowania po roli z licznikiem kont, a lista ofert administratora pokazuje zamykalną plakietkę handlowca, gdy jest już zawężona do konkretnej osoby. Dodano przycisk „2” w wyborze terminu płatności (kalkulator, panel „Klienci”), tak by domyślny 2-dniowy termin nowej oferty pokazywał się jako gotowy wybór zamiast wartości wpisanej w polu „Inny”. Panel „Handlowcy” w Analizie zyskał też przełącznik filtrujący ranking wyników wg roli (Wszystko/młodszy handlowiec/starszy handlowiec/administrator), z przeliczeniem udziałów procentowych i wiersza „Razem” dla zawężonej grupy. Dodano też w kalkulatorze krótką plakietkę informacyjną przy wyborze okresu ważności oferty na kwartał inny niż bieżący, gdy PGL zaplanowane na ten kwartał różni się od aktualnie obowiązującego, tak by handlowiec od razu widział, że wycena jedzie na innej cenie wsadu. Dodano też podstawową infrastrukturę PWA (manifest, ikony, service worker) z plakietką instalacji aplikacji widoczną wyłącznie na ekranie logowania na telefonach z Androidem, znikającą automatycznie po zalogowaniu. Nagłówek sekcji „Trasa i transport” w Zestawieniu wyróżniono pogrubieniem i kolorem akcentu, żeby było wyraźniej widać, że to klikalny przycisk rozwijający panel.</w:t>
            </w:r>
          </w:p>
        </w:tc>
      </w:tr>
      <w:tr w:rsidR="00F95910" w14:paraId="5F8AE47C" w14:textId="77777777">
        <w:tc>
          <w:tcPr>
            <w:tcW w:w="1226" w:type="dxa"/>
          </w:tcPr>
          <w:p w14:paraId="5DC82F69" w14:textId="77777777" w:rsidR="00F95910" w:rsidRDefault="00000000">
            <w:r>
              <w:lastRenderedPageBreak/>
              <w:t>1.8</w:t>
            </w:r>
          </w:p>
        </w:tc>
        <w:tc>
          <w:tcPr>
            <w:tcW w:w="2481" w:type="dxa"/>
          </w:tcPr>
          <w:p w14:paraId="63CFAD67" w14:textId="72E92FD8" w:rsidR="00F95910" w:rsidRDefault="000B0BCE">
            <w:r>
              <w:t xml:space="preserve">11.09.2026, 14.09.2026, 15.09.2026, 16.09.2026, </w:t>
            </w:r>
            <w:r w:rsidR="00F2758A">
              <w:t>18</w:t>
            </w:r>
            <w:r>
              <w:t>.09.2026</w:t>
            </w:r>
          </w:p>
        </w:tc>
        <w:tc>
          <w:tcPr>
            <w:tcW w:w="1568" w:type="dxa"/>
          </w:tcPr>
          <w:p w14:paraId="313C3597" w14:textId="23FAB7BA" w:rsidR="00F95910" w:rsidRDefault="00505D3B">
            <w:r>
              <w:t>1</w:t>
            </w:r>
            <w:r w:rsidR="00F2758A">
              <w:t>8</w:t>
            </w:r>
            <w:r>
              <w:t>.09.2026</w:t>
            </w:r>
          </w:p>
        </w:tc>
        <w:tc>
          <w:tcPr>
            <w:tcW w:w="3581" w:type="dxa"/>
          </w:tcPr>
          <w:p w14:paraId="6DE0AE48" w14:textId="283E1A15" w:rsidR="00F95910" w:rsidRDefault="00F95910">
            <w:r>
              <w:t xml:space="preserve">Dodano opcjonalny komentarz do pozycji z niezerową dopłatą dodatkową w kalkulatorze. Pole </w:t>
            </w:r>
            <w:r>
              <w:lastRenderedPageBreak/>
              <w:t xml:space="preserve">komentarza oraz osobny checkbox „Dołącz komentarz do PDF” pojawiają się dopiero po wpisaniu wartości różnej od zera, a treść zapisuje się razem z resztą konfiguracji pozycji (odtwarzana przy edycji, nieusuwana przy chwilowym wyzerowaniu dopłaty). Po zaznaczeniu checkboxa komentarz trafia jako dodatkowy wpis do kolumny „Uwagi” w PDF oferty, we wszystkich miejscach eksportu (kalkulator, Moje oferty, Panel seniora, Panel administratora). Dodano również gatunek jednorazowy - możliwość wyceny gatunku spoza cennika (nazwa + dopłata EUR/t) w obrębie jednej oferty, bez dopisywania go do cennika i bez wpływu na pozostałe oferty. Dodano też opcję odbioru własnego w transporcie - checkbox w panelu „Trasa i transport” ustawia transport na 0 €/t, gdy klient sam odbiera towar spod zakładu. Dodano też harmonogram kwartalny PGL bazowego: administrator planuje ceny na Q1–Q4 wybranego roku osobno dla każdego typu stali, a kalkulator przełącza się na cenę danego kwartału automatycznie z chwilą jego rozpoczęcia. Tabela w panelu administratora pokazuje obok siebie cenę bieżącego miesiąca i wszystkie cztery kwartały. Funkcja wymaga migracji bazy danych (021_create_pgl_quarterly_prices.sql). Poprawiono też zapis ustawień, który przy aktywnej cenie kwartalnej nadpisywał nią ręczną cenę bazową PGL, oraz zaktualizowano dokumentację repozytorium (README, opis „About” na GitHubie, zrzuty ekranu kalkulatora) i numer wersji w nagłówku aplikacji do v1.8. Cały panel kalkulacji zyskał też zwijanie/rozwijanie jednym kliknięciem, analogicznie do panelu Danych Klienta. Ostrzeżenia o PGL </w:t>
            </w:r>
            <w:r>
              <w:lastRenderedPageBreak/>
              <w:t xml:space="preserve">poniżej bazy i marży poniżej minimum stały się też wyraźnie widoczne - zamiast drobnego żółtego tekstu pokazują się teraz jako czerwono obramowany, pogrubiony komunikat. Złom w podsumowaniu SSC przestał być stałą kwotą 10 €/t - jest teraz % ceny wsadu (domyślnie 2%), konfigurowalny przez administratora w Ustawieniach. Poprawiono też historię zmian cen bazowych PGL, która nie rejestrowała zmian wprowadzanych przez harmonogram kwartalny (edycję ceny bieżącego kwartału) - teraz trafiają do tego samego logu co ręczne zmiany. Dodano też okres ważności oferty: pola „Ważna od”/„Ważna do” obok przełącznika Arkusz/Krąg. Kwartał wyznaczony z daty „Ważna od” automatycznie dobiera PGL bazowe zaplanowane w harmonogramie kwartalnym dla tego okresu, tą samą logiką co dotychczasowe przełączanie na bieżący kwartał - tylko sparametryzowaną wybranym okresem zamiast „teraz”. Gdy zakres „od”–„do” wykracza poza jeden kwartał, PGL nie jest dobierane automatycznie i pojawia się czerwone ostrzeżenie. Wybrany zakres dat trafia też dodatkowo do stopki PDF oferty, obok dotychczasowej formułki o 48-godzinnej ważności oferty. Kwota złomu w podsumowaniu SSC jest teraz zaokrąglana do liczby całkowitej, na polecenie </w:t>
            </w:r>
            <w:r w:rsidR="00B07223">
              <w:t>Łukasza</w:t>
            </w:r>
            <w:r>
              <w:t xml:space="preserve">. Dodano też termin płatności: osobna para pól „od”/„do” obok okresu ważności oferty, gdzie „do” domyślnie dolicza się jako „od” + termin klienta (konfigurowalny w panelu Klienci, dostępnym też dla starszego handlowca) albo globalny domyślny z Ustawień (domyślnie 7 dni), z możliwością ręcznej zmiany; ustawiony termin trafia też do stopki PDF, zastępując ogólną formułkę o warunkach płatności. Poprawiono też </w:t>
            </w:r>
            <w:r>
              <w:lastRenderedPageBreak/>
              <w:t>PDF oferty: podsumowanie sumy przestało powtarzać się po każdej stronie tabeli pozycji (pokazuje się teraz raz, po ostatniej pozycji), a tekst w kolumnach „Cena”/„Wartość” przestał się rozjeżdżać przy pięciocyfrowych kwotach. W zestawieniu pozycji doszła możliwość zmiany kolejności wierszy przeciąganiem za uchwyt, z automatycznym przeliczeniem numeracji „Lp.” i płynną animacją przesuwania pozostałych pozycji - nowa kolejność obowiązuje też w PDF, Excelu i zapisanej ofercie; funkcja działa również dotykiem na telefonie i tablecie, nie tylko myszką. Podsumowanie zestawienia pozycji pokazuje teraz również łączną liczbę ton, wyrównaną w wierszu podsumowującym dokładnie pod kolumnami „Tony” i „Wartość” tabeli. Dodano też migrację przeterminowanego PGL: otwarcie do edycji zapisanej oferty (albo świeżo zduplikowanej kopii) wycenionej w innym kwartale niż bieżący automatycznie aktualizuje PGL bazowe, PGL/marżę/cenę każdej pozycji zestawienia oraz okres ważności do dzisiejszej daty, z wyraźnym banerem informującym o zmianie i liczbie przeliczonych pozycji; nic nie zapisuje się do bazy bez ręcznego zapisania oferty.</w:t>
            </w:r>
          </w:p>
        </w:tc>
      </w:tr>
      <w:tr w:rsidR="00F95910" w14:paraId="2E6B4C22" w14:textId="77777777">
        <w:tc>
          <w:tcPr>
            <w:tcW w:w="1226" w:type="dxa"/>
          </w:tcPr>
          <w:p w14:paraId="6E6C4B46" w14:textId="77777777" w:rsidR="00F95910" w:rsidRDefault="00000000">
            <w:r>
              <w:lastRenderedPageBreak/>
              <w:t>1.7</w:t>
            </w:r>
          </w:p>
        </w:tc>
        <w:tc>
          <w:tcPr>
            <w:tcW w:w="2481" w:type="dxa"/>
          </w:tcPr>
          <w:p w14:paraId="4B90C1A7" w14:textId="77777777" w:rsidR="00F95910" w:rsidRDefault="000B0BCE">
            <w:r>
              <w:t>01.09.2026, 10.09.2026</w:t>
            </w:r>
          </w:p>
        </w:tc>
        <w:tc>
          <w:tcPr>
            <w:tcW w:w="1568" w:type="dxa"/>
          </w:tcPr>
          <w:p w14:paraId="0B61FC03" w14:textId="77777777" w:rsidR="00F95910" w:rsidRDefault="00505D3B">
            <w:r>
              <w:t>10.09.2026</w:t>
            </w:r>
          </w:p>
        </w:tc>
        <w:tc>
          <w:tcPr>
            <w:tcW w:w="3581" w:type="dxa"/>
          </w:tcPr>
          <w:p w14:paraId="490DB87C" w14:textId="77777777" w:rsidR="00F95910" w:rsidRDefault="00F95910">
            <w:r>
              <w:t xml:space="preserve">Naprawiono błąd zapisu decyzji klienta (wygrana / przegrana) na ofercie wysłanej - konflikt typów parametru w zapytaniu SQL (kod 42P08); wcześniej funkcja nie zapisywała żadnej decyzji. Zablokowano wysyłkę oferty do klienta bez danych firmy klienta (nazwa firmy i NIP) - tworzenie i zapis oferty bez tych danych nadal działają. Senior może zbudować zespół z juniorów (sekcja „Mój zespół” w panelu seniora i administratora), a </w:t>
            </w:r>
            <w:r>
              <w:lastRenderedPageBreak/>
              <w:t>panel „Analiza” pokazuje mu wtedy dane własne oraz całego zespołu, z możliwością zawężenia do siebie lub wybranego juniora. Eksport ofert, panelu „Analiza” i historii PGL do Excela otwiera się teraz z kolumnami dopasowanymi do zawartości, bez ręcznego rozciągania. Dodano automatyczne liczenie transportu z trasy dostawy: rzeczywista odległość drogowa do klienta, cennik przewoźnika w pasmach kilometrowych, przeliczanie na kursy według ładowności 21 t i dopłaty za elementy ponadwymiarowe, wraz z edytowalnym cennikiem w panelu administratora. Wysoki kontrast (jasny i ciemny) przeszedł na nowoczesną paletę kolorów wspólną ze zwykłym motywem – zamiast czerni-na-bieli tryb ten daje teraz większą czcionkę, powiększony widok i grubsze obramowania przy firmowych kolorach. Naprawiono też fałszywe ostrzeżenie o niezapisanych zmianach po rozpoczęciu nowej oferty w trakcie edycji zapisanej – pojawiało się mimo pustego, niezmienionego formularza. Blacha łezkowa otrzymała dopłatę wymiarową zależną od szerokości (30 €/t do 1,5 m, 45 €/t powyżej) oraz własną tabelę gatunków z domyślnym S235JR+N. Wersja 1.7 została wdrożona na środowisko produkcyjne 10.09.2026 wraz z migracjami 019 (zespoły seniora, tabela „team_members”) i 020 (cennik transportowy, tabele „transport_tariff_bands” i „route_cache”); wdrożenie zakończone powodzeniem.</w:t>
            </w:r>
          </w:p>
        </w:tc>
      </w:tr>
      <w:tr w:rsidR="00F95910" w14:paraId="3C01545A" w14:textId="77777777">
        <w:tc>
          <w:tcPr>
            <w:tcW w:w="1226" w:type="dxa"/>
          </w:tcPr>
          <w:p w14:paraId="65547B15" w14:textId="77777777" w:rsidR="00F95910" w:rsidRDefault="00000000">
            <w:r>
              <w:lastRenderedPageBreak/>
              <w:t>1.6</w:t>
            </w:r>
          </w:p>
        </w:tc>
        <w:tc>
          <w:tcPr>
            <w:tcW w:w="2481" w:type="dxa"/>
          </w:tcPr>
          <w:p w14:paraId="7502C073" w14:textId="77777777" w:rsidR="00F95910" w:rsidRDefault="000B0BCE">
            <w:r>
              <w:t>19.08.2026 - 01.09.2026</w:t>
            </w:r>
          </w:p>
        </w:tc>
        <w:tc>
          <w:tcPr>
            <w:tcW w:w="1568" w:type="dxa"/>
          </w:tcPr>
          <w:p w14:paraId="059DE43B" w14:textId="77777777" w:rsidR="00F95910" w:rsidRDefault="00505D3B">
            <w:r>
              <w:t>01.09.2026</w:t>
            </w:r>
          </w:p>
        </w:tc>
        <w:tc>
          <w:tcPr>
            <w:tcW w:w="3581" w:type="dxa"/>
          </w:tcPr>
          <w:p w14:paraId="15496701" w14:textId="77777777" w:rsidR="00F95910" w:rsidRDefault="00F95910">
            <w:r>
              <w:t xml:space="preserve">Uzupełniono tabelę gatunków PICKLED (HRS Trawiona) o brakujący zakres SAPH 440 -&gt; DD12 wraz z dodatkowymi gatunkami (K367-DD14+B, FE 600 DP, S300EK, P265GH, P275SL, P355NL2, SA516G60-LOWSI, S240 D), na podstawie danych </w:t>
            </w:r>
            <w:r>
              <w:lastRenderedPageBreak/>
              <w:t xml:space="preserve">przekazanych przez klienta. Poprawiono czytelność etykiet wersjonowania na liście ofert (numer oferty offer_id/offer_id.N zamieniony miejscami z nazwą oferty jako główny nagłówek wiersza, wyraźniejsza etykieta „poprzednia wersja”). Przycisk „Aktualizuj pozycję” w kalkulatorze zmienia teraz kolor na niebieski podczas edycji istniejącej pozycji, aby odróżnić go od żółtego przycisku dodawania nowej pozycji. Kliknięcie pozycji na liście zestawienia (wiersz lub ołówek) przewija teraz widok automatycznie do góry kalkulatora. Cena bazowa PGL jest od teraz zawsze w EUR (€/t), niezależnie od waluty oferty. Podczas edycji zapisanej oferty w kalkulatorze pojawia się teraz wyraźny baner „Teraz edytujesz ofertę: offer_id”, tak by nie pomylić jej z tworzeniem nowej wyceny; baner pokazuje właściwy numer wersji (np. offer_27.1), nie surowe wewnętrzne ID wiersza w bazie. Tryb wysokiego kontrastu doczekał się osobnych wariantów jasnego i ciemnego (wcześniej był to jeden, stały motyw ignorujący przełącznik jasny/ciemny) - przełączanie między jasnym a ciemnym motywem działa teraz poprawnie również przy włączonym wysokim kontraście, a wyłączenie wysokiego kontrastu przywraca wcześniej wybrany motyw jasny lub ciemny. Poprawiono też kilka miejsc w interfejsie (pasek „Suma Huta”, przyciski przełączające, podpowiedzi gatunków, komunikaty ostrzegawcze), w których kolory tła i tekstu były zapisane na sztywno pod jasny wysoki kontrast i stawały się nieczytelne w wariancie ciemnym. Panel administratora zyskał filtrowanie i sortowanie historii zmian cen bazowych PGL (po typie stali, zakresie dat i dowolnej kolumnie tabeli) wraz z </w:t>
            </w:r>
            <w:r>
              <w:lastRenderedPageBreak/>
              <w:t>przyciskiem czyszczącym filtry; eksport do Excela odzwierciedla teraz aktualnie wybrany widok, a nie zawsze całą historię. Generowanie oferty PDF respektuje teraz język interfejsu wybrany przez handlowca (PL/EN/CS/DE) - wcześniej cały szablon PDF (nagłówki tabeli, etykiety danych klienta, uwagi prawne w stopce, podpisy) był na sztywno po polsku, niezależnie od języka ustawionego w aplikacji. Na liście „Moje oferty” naprawiono kliknięcie w rozwiniętej historii wersji ofert, które błędnie otwierało do edycji zawsze najnowszą wersję zamiast tej faktycznie klikniętej. W tej samej wersji dodano panel „Analiza” dla wszystkich ról (tonaż zaoferowany, wygrany i przegrany, wskaźnik skuteczności, rozbicie w czasie oraz według typu stali i klienta, tabela ofert z eksportem; zakres danych ustalany po stronie serwera - junior i senior widzą własne oferty, administrator całą firmę) wraz z nową osią „decyzja klienta” na ofercie wysłanej („wygrana” / „przegrana” / „oczekująca”, migracja 018), niezależną od statusu obiegu oferty.</w:t>
            </w:r>
          </w:p>
        </w:tc>
      </w:tr>
      <w:tr w:rsidR="00F95910" w14:paraId="44E8ADD5" w14:textId="77777777">
        <w:tc>
          <w:tcPr>
            <w:tcW w:w="1226" w:type="dxa"/>
          </w:tcPr>
          <w:p w14:paraId="1A0DC302" w14:textId="77777777" w:rsidR="00F95910" w:rsidRDefault="00000000">
            <w:r>
              <w:lastRenderedPageBreak/>
              <w:t>1.5</w:t>
            </w:r>
          </w:p>
        </w:tc>
        <w:tc>
          <w:tcPr>
            <w:tcW w:w="2481" w:type="dxa"/>
          </w:tcPr>
          <w:p w14:paraId="1CFEF40D" w14:textId="77777777" w:rsidR="00F95910" w:rsidRDefault="000B0BCE">
            <w:r>
              <w:t>10.08.2026 - 13.08.2026, 17.08.2026</w:t>
            </w:r>
          </w:p>
        </w:tc>
        <w:tc>
          <w:tcPr>
            <w:tcW w:w="1568" w:type="dxa"/>
          </w:tcPr>
          <w:p w14:paraId="7BE565C5" w14:textId="77777777" w:rsidR="00F95910" w:rsidRDefault="00505D3B">
            <w:r>
              <w:t>18.08.2026</w:t>
            </w:r>
          </w:p>
        </w:tc>
        <w:tc>
          <w:tcPr>
            <w:tcW w:w="3581" w:type="dxa"/>
          </w:tcPr>
          <w:p w14:paraId="2A7E289C" w14:textId="77777777" w:rsidR="00F95910" w:rsidRDefault="00000000">
            <w:r>
              <w:t xml:space="preserve">Naprawiono brak synchronizacji kontaktu głównego wpisywanego w panelu „Klienci” z tabelą osób kontaktowych - dane osoby zapisane przy edycji firmy nie pojawiały się w zakładce „Kontakty”. Panel „Klienci” zyskał akcję „Kontakty” przy każdej firmie: rozwija listę zapisanych dla niej osób z możliwością edycji i usunięcia każdej z osobna oraz formularzem dodania kolejnej, bez przechodzenia do osobnej zakładki. Dodano migrację uzupełniającą kontakty zapisane, zanim ta poprawka weszła w życie. Dodano tryb „Wysoki kontrast” (przycisk obok Jasny/Ciemny, dostępny na wszystkich podstronach). W tym samym okresie dodano historię </w:t>
            </w:r>
            <w:r>
              <w:lastRenderedPageBreak/>
              <w:t>zmian cen bazowych PGL z eksportem do Excela, kolorowe oznaczenia typów stali HRS/CR/HDG w panelu ustawień oraz klikalne kafelki statusów na pulpicie administratora, a w kalkulatorze kliknięcie wiersza pozycji otwiera ją do edycji. Kolumna „Uwagi” w PDF oferty pokazuje teraz pełny zestaw wybranych dopłat dla każdej pozycji. Panel ustawień administratora zyskał próg „Minimalna marża (%)” - junior może odtąd wysłać ofertę do klienta bezpośrednio z szkicu, bez zatwierdzenia seniora/administratora, jeśli każda pozycja ma marżę i PGL bazowe w normie; w przeciwnym razie oferta nadal wymaga pełnej ścieżki zatwierdzenia. Kliknięcie w ofertę na liście (Moje oferty, Panel seniora, Panel administratora) otwiera ją teraz do edycji, tak jak pozycje w kalkulatorze. Edycja już zapisanej oferty nie nadpisuje jej w miejscu - zapisuje nową wersję („offer_30.1”, „offer_30.2”...), a poprzednie wersje zostają widoczne pod rozwijaną listą na tej samej karcie. W tym samym okresie dodano trzy nowe typy stali obok HRS/CR/HDG: PICKLED (HRS Trawiona), TEARDROP (Blacha łezkowa) i ZM (Magnelis) - wraz z własnymi tabelami gatunków, matrycami dopłat wymiarowych i (dla ZM) matrycą powłoki, w oparciu o dane przekazane przez klienta.</w:t>
            </w:r>
          </w:p>
        </w:tc>
      </w:tr>
      <w:tr w:rsidR="007958E8" w14:paraId="017A1A2F" w14:textId="77777777">
        <w:tc>
          <w:tcPr>
            <w:tcW w:w="1226" w:type="dxa"/>
          </w:tcPr>
          <w:p w14:paraId="2D6190F5" w14:textId="77777777" w:rsidR="007958E8" w:rsidRDefault="00000000">
            <w:r>
              <w:lastRenderedPageBreak/>
              <w:t>1.4</w:t>
            </w:r>
          </w:p>
        </w:tc>
        <w:tc>
          <w:tcPr>
            <w:tcW w:w="2481" w:type="dxa"/>
          </w:tcPr>
          <w:p w14:paraId="1302D2E9" w14:textId="77777777" w:rsidR="007958E8" w:rsidRDefault="008120C4">
            <w:r>
              <w:t>31.07.2026 - 4.08.2026, 10.08.2026</w:t>
            </w:r>
          </w:p>
        </w:tc>
        <w:tc>
          <w:tcPr>
            <w:tcW w:w="1568" w:type="dxa"/>
          </w:tcPr>
          <w:p w14:paraId="6E61E831" w14:textId="77777777" w:rsidR="007958E8" w:rsidRDefault="00FC2BFC">
            <w:r>
              <w:t>10.08.2026</w:t>
            </w:r>
          </w:p>
        </w:tc>
        <w:tc>
          <w:tcPr>
            <w:tcW w:w="3581" w:type="dxa"/>
          </w:tcPr>
          <w:p w14:paraId="3D159ECE" w14:textId="77777777" w:rsidR="007958E8" w:rsidRDefault="007958E8">
            <w:r>
              <w:t xml:space="preserve">Poprawki bezpieczeństwa eksportu PDF: dane oferty i klienta wpisywane przez handlowca są zabezpieczane przed wykonaniem jako kod po stronie usługi generującej dokument, a samo generowanie PDF wymaga jawnie potwierdzonej roli użytkownika. W kalkulatorze dodano ostrzeżenie przy edycji pozycji dodanych przed wersją 1.3, dla których konfiguracja dopłat nie została zapisana i nie da się jej automatycznie odtworzyć. Przebudowano panel </w:t>
            </w:r>
            <w:r>
              <w:lastRenderedPageBreak/>
              <w:t>danych klienta w kalkulatorze: dane firmy (firma, NIP, adres, SAP ID) zostały oddzielone od danych kontaktowych, a pola „Firma” i „NIP” działają jak wyszukiwarki po katalogu klientów. Osoby kontaktowe są od teraz wspólne dla całego działu - jedna firma może mieć ich wiele, a pole imienia podpowiada je od razu po kliknięciu. Naprawiono także brak natychmiastowej widoczności zmian ustawień administratora (PGL bazowe, kurs EUR/PLN) w kalkulatorze bez przeładowania strony, a PGL bazowe skonfigurowano osobno dla typów stali HRS, CR i HDG. Cena końcowa oraz sumy wartości w kalkulatorze, na liście ofert i w PDF są od teraz zaokrąglane w górę do pełnej jednostki waluty - świadoma decyzja biznesowa, żeby nigdy nie zaniżyć ceny wobec klienta.</w:t>
            </w:r>
          </w:p>
        </w:tc>
      </w:tr>
      <w:tr w:rsidR="006F108A" w14:paraId="20A5020D" w14:textId="77777777">
        <w:tc>
          <w:tcPr>
            <w:tcW w:w="1226" w:type="dxa"/>
          </w:tcPr>
          <w:p w14:paraId="444B2C47" w14:textId="77777777" w:rsidR="006F108A" w:rsidRDefault="006F108A">
            <w:pPr>
              <w:rPr>
                <w:b/>
              </w:rPr>
            </w:pPr>
            <w:r>
              <w:rPr>
                <w:b/>
              </w:rPr>
              <w:lastRenderedPageBreak/>
              <w:t>1.3</w:t>
            </w:r>
          </w:p>
        </w:tc>
        <w:tc>
          <w:tcPr>
            <w:tcW w:w="2481" w:type="dxa"/>
          </w:tcPr>
          <w:p w14:paraId="12EE8A45" w14:textId="77777777" w:rsidR="006F108A" w:rsidRDefault="006F108A">
            <w:r>
              <w:t>16.07.2026 - 31.07.2026</w:t>
            </w:r>
          </w:p>
        </w:tc>
        <w:tc>
          <w:tcPr>
            <w:tcW w:w="1568" w:type="dxa"/>
          </w:tcPr>
          <w:p w14:paraId="643B3C46" w14:textId="77777777" w:rsidR="006F108A" w:rsidRDefault="008120C4">
            <w:r>
              <w:t>31.07.2026</w:t>
            </w:r>
          </w:p>
        </w:tc>
        <w:tc>
          <w:tcPr>
            <w:tcW w:w="3581" w:type="dxa"/>
          </w:tcPr>
          <w:p w14:paraId="4F844702" w14:textId="77777777" w:rsidR="006F108A" w:rsidRDefault="006F108A">
            <w:r>
              <w:t>Panel administratora zyskał obsługę zatwierdzania, odrzucania i edycji ofert; wysyłka do klienta rozszerzona na starszego handlowca i administratora wraz z zakładkami szybkiego filtrowania; dodane języki czeski i niemiecki oraz sortowanie listy ofert. Dodano panel ustawień administratora (kurs EUR/PLN, PGL bazowe, transport bazowy) oraz przełącznik waluty EURO/PLN w kalkulatorze; oferta zapamiętuje walutę handlowca i kurs z dnia wyceny. Dodano trwałe, unikalne numery ofert wraz z automatyczną nazwą zastępczą „offer_&lt;numer&gt;” dla ofert bez tytułu oraz wyszukiwarkę ofert (po nazwie, nazwie zastępczej i numerze); uprawnienia administratora zrównane ze starszym handlowcem na własnych ofertach.</w:t>
            </w:r>
          </w:p>
        </w:tc>
      </w:tr>
      <w:tr w:rsidR="00404AB3" w14:paraId="5F2BFD8D" w14:textId="77777777">
        <w:tc>
          <w:tcPr>
            <w:tcW w:w="1226" w:type="dxa"/>
          </w:tcPr>
          <w:p w14:paraId="754C7CE5" w14:textId="77777777" w:rsidR="00404AB3" w:rsidRDefault="00250F91">
            <w:r>
              <w:rPr>
                <w:b/>
              </w:rPr>
              <w:t>1.2</w:t>
            </w:r>
          </w:p>
        </w:tc>
        <w:tc>
          <w:tcPr>
            <w:tcW w:w="2481" w:type="dxa"/>
          </w:tcPr>
          <w:p w14:paraId="126044AC" w14:textId="77777777" w:rsidR="00404AB3" w:rsidRDefault="00250F91">
            <w:r>
              <w:t>13.07.2026 - 16.07.2026</w:t>
            </w:r>
          </w:p>
        </w:tc>
        <w:tc>
          <w:tcPr>
            <w:tcW w:w="1568" w:type="dxa"/>
          </w:tcPr>
          <w:p w14:paraId="1237281E" w14:textId="77777777" w:rsidR="00404AB3" w:rsidRDefault="00250F91">
            <w:r>
              <w:t>16.07.2026</w:t>
            </w:r>
          </w:p>
        </w:tc>
        <w:tc>
          <w:tcPr>
            <w:tcW w:w="3581" w:type="dxa"/>
          </w:tcPr>
          <w:p w14:paraId="690AD220" w14:textId="77777777" w:rsidR="00404AB3" w:rsidRDefault="00250F91">
            <w:r>
              <w:t xml:space="preserve">Poprawki regresji po integracji podczas Deployu (m.in. krytyczny błąd edycji pozycji, przywrócona waga arkusza), ujednolicenie generowania PDF na wersję serwerową, zamknięcie </w:t>
            </w:r>
            <w:r>
              <w:lastRenderedPageBreak/>
              <w:t>rejestracji kont dla administratora oraz eksport ofert do Excela w formacie KTS/GPAO.</w:t>
            </w:r>
          </w:p>
        </w:tc>
      </w:tr>
      <w:tr w:rsidR="009F095F" w14:paraId="61DF2C95" w14:textId="77777777" w:rsidTr="006F108A">
        <w:tc>
          <w:tcPr>
            <w:tcW w:w="1226" w:type="dxa"/>
          </w:tcPr>
          <w:p w14:paraId="35AAE197" w14:textId="77777777" w:rsidR="009F095F" w:rsidRDefault="00250F91">
            <w:r>
              <w:rPr>
                <w:b/>
                <w:color w:val="1F2A44"/>
              </w:rPr>
              <w:lastRenderedPageBreak/>
              <w:t>1.1</w:t>
            </w:r>
          </w:p>
        </w:tc>
        <w:tc>
          <w:tcPr>
            <w:tcW w:w="2481" w:type="dxa"/>
          </w:tcPr>
          <w:p w14:paraId="779D2FC0" w14:textId="77777777" w:rsidR="009F095F" w:rsidRDefault="00250F91">
            <w:r>
              <w:rPr>
                <w:color w:val="666666"/>
              </w:rPr>
              <w:t>6.07.2026 - 13.07.2026</w:t>
            </w:r>
          </w:p>
        </w:tc>
        <w:tc>
          <w:tcPr>
            <w:tcW w:w="1568" w:type="dxa"/>
          </w:tcPr>
          <w:p w14:paraId="643DC70B" w14:textId="77777777" w:rsidR="009F095F" w:rsidRDefault="00250F91">
            <w:r>
              <w:rPr>
                <w:color w:val="666666"/>
              </w:rPr>
              <w:t>13.07.2026</w:t>
            </w:r>
          </w:p>
        </w:tc>
        <w:tc>
          <w:tcPr>
            <w:tcW w:w="3581" w:type="dxa"/>
          </w:tcPr>
          <w:p w14:paraId="3109D939" w14:textId="77777777" w:rsidR="009F095F" w:rsidRDefault="00250F91">
            <w:r>
              <w:t>Role użytkowników (młodszy/starszy handlowiec, administrator), obieg akceptacji ofert, panel administratora i panel seniora, migracje bazy danych, tłumaczenia PL/EN. Wdrożone na środowisko produkcyjne.</w:t>
            </w:r>
          </w:p>
        </w:tc>
      </w:tr>
      <w:tr w:rsidR="00BA4AAF" w14:paraId="2353D4CD" w14:textId="77777777" w:rsidTr="006F108A">
        <w:tc>
          <w:tcPr>
            <w:tcW w:w="1226" w:type="dxa"/>
          </w:tcPr>
          <w:p w14:paraId="49BE37E8" w14:textId="77777777" w:rsidR="00BA4AAF" w:rsidRDefault="00250F91">
            <w:r>
              <w:rPr>
                <w:b/>
                <w:color w:val="1F2A44"/>
              </w:rPr>
              <w:t>1.0</w:t>
            </w:r>
          </w:p>
        </w:tc>
        <w:tc>
          <w:tcPr>
            <w:tcW w:w="2481" w:type="dxa"/>
          </w:tcPr>
          <w:p w14:paraId="217388B7" w14:textId="77777777" w:rsidR="00BA4AAF" w:rsidRDefault="00492984">
            <w:r>
              <w:rPr>
                <w:color w:val="666666"/>
              </w:rPr>
              <w:t>do dnia 31.03.2026</w:t>
            </w:r>
          </w:p>
        </w:tc>
        <w:tc>
          <w:tcPr>
            <w:tcW w:w="1568" w:type="dxa"/>
          </w:tcPr>
          <w:p w14:paraId="68508841" w14:textId="77777777" w:rsidR="00BA4AAF" w:rsidRDefault="00492984">
            <w:r>
              <w:rPr>
                <w:color w:val="666666"/>
              </w:rPr>
              <w:t>6.07.2026</w:t>
            </w:r>
          </w:p>
        </w:tc>
        <w:tc>
          <w:tcPr>
            <w:tcW w:w="3581" w:type="dxa"/>
          </w:tcPr>
          <w:p w14:paraId="74881328" w14:textId="77777777" w:rsidR="00BA4AAF" w:rsidRPr="008709B9" w:rsidRDefault="00250F91">
            <w:r>
              <w:t>Wersja bazowa  - stan wyjściowy aplikacji.</w:t>
            </w:r>
          </w:p>
        </w:tc>
      </w:tr>
    </w:tbl>
    <w:p w14:paraId="62178C45" w14:textId="77777777" w:rsidR="00BA4AAF" w:rsidRDefault="00BA4AAF"/>
    <w:p w14:paraId="3C6D1E11" w14:textId="77777777" w:rsidR="00BA4AAF" w:rsidRDefault="006F108A">
      <w:pPr>
        <w:pBdr>
          <w:bottom w:val="single" w:sz="12" w:space="4" w:color="2B57A6"/>
        </w:pBdr>
        <w:spacing w:before="200" w:after="80"/>
      </w:pPr>
      <w:r>
        <w:rPr>
          <w:b/>
          <w:color w:val="1F2A44"/>
          <w:sz w:val="32"/>
        </w:rPr>
        <w:t>Zmiany w wersji 2.0</w:t>
      </w:r>
    </w:p>
    <w:p w14:paraId="41273456" w14:textId="77777777" w:rsidR="00BA4AAF" w:rsidRDefault="00250F91">
      <w:pPr>
        <w:spacing w:before="240" w:after="40"/>
      </w:pPr>
      <w:r>
        <w:rPr>
          <w:b/>
          <w:color w:val="2B57A6"/>
          <w:sz w:val="26"/>
        </w:rPr>
        <w:t>Zmiany ogólne / systemowe</w:t>
      </w:r>
    </w:p>
    <w:p w14:paraId="180FAFFF" w14:textId="77777777" w:rsidR="00BA4AAF" w:rsidRDefault="00250F91">
      <w:pPr>
        <w:spacing w:after="80"/>
      </w:pPr>
      <w:r>
        <w:rPr>
          <w:i/>
          <w:color w:val="666666"/>
          <w:sz w:val="18"/>
        </w:rPr>
        <w:t>Zmiany niezależne od funkcji - logowanie, wydajność, baza danych, bezpieczeństwo.</w:t>
      </w:r>
    </w:p>
    <w:tbl>
      <w:tblPr>
        <w:tblStyle w:val="Tabela-Siatka"/>
        <w:tblW w:w="0" w:type="auto"/>
        <w:tblLook w:val="04A0" w:firstRow="1" w:lastRow="0" w:firstColumn="1" w:lastColumn="0" w:noHBand="0" w:noVBand="1"/>
      </w:tblPr>
      <w:tblGrid>
        <w:gridCol w:w="1948"/>
        <w:gridCol w:w="6908"/>
      </w:tblGrid>
      <w:tr w:rsidR="00BA4AAF" w14:paraId="54F5215C" w14:textId="77777777" w:rsidTr="000B5C5B">
        <w:tc>
          <w:tcPr>
            <w:tcW w:w="1948" w:type="dxa"/>
            <w:shd w:val="clear" w:color="auto" w:fill="EEF2F8"/>
          </w:tcPr>
          <w:p w14:paraId="2CDF7A91" w14:textId="77777777" w:rsidR="00BA4AAF" w:rsidRDefault="00250F91">
            <w:r>
              <w:rPr>
                <w:b/>
                <w:color w:val="1F2A44"/>
              </w:rPr>
              <w:t>Typ</w:t>
            </w:r>
          </w:p>
        </w:tc>
        <w:tc>
          <w:tcPr>
            <w:tcW w:w="6908" w:type="dxa"/>
            <w:shd w:val="clear" w:color="auto" w:fill="EEF2F8"/>
          </w:tcPr>
          <w:p w14:paraId="146DD79B" w14:textId="77777777" w:rsidR="00BA4AAF" w:rsidRDefault="00250F91">
            <w:r>
              <w:rPr>
                <w:b/>
                <w:color w:val="1F2A44"/>
              </w:rPr>
              <w:t>Opis zmiany</w:t>
            </w:r>
          </w:p>
        </w:tc>
      </w:tr>
      <w:tr w:rsidR="00F95910" w14:paraId="6E11586C" w14:textId="77777777">
        <w:tc>
          <w:tcPr>
            <w:tcW w:w="1948" w:type="dxa"/>
          </w:tcPr>
          <w:p w14:paraId="218A1FD0" w14:textId="77777777" w:rsidR="00F95910" w:rsidRDefault="00000000">
            <w:r>
              <w:t>Nowa funkcja</w:t>
            </w:r>
          </w:p>
        </w:tc>
        <w:tc>
          <w:tcPr>
            <w:tcW w:w="6908" w:type="dxa"/>
          </w:tcPr>
          <w:p w14:paraId="4AF32CFA" w14:textId="77777777" w:rsidR="00F95910" w:rsidRDefault="00000000">
            <w:r>
              <w:t>Konfigurowalny model uprawnień zamiast stałych ról junior / senior / admin: flowy procesowe, poziomy hierarchii (N0, N+1, N+2, N+3, NPR), role z sześcioma uprawnieniami funkcjonalnymi ustawianymi osobno w każdym flow, przypisania użytkowników do flow, reguły walidacji i macierz widoczności. Dane startowe zgodne z formularzem uprawnień i walidacji ofert z 22.09.2026 (Flow 1 - DYSTR, Flow 2 - PROJEKTY; CEO w Flow 2 na poziomie N+2).</w:t>
            </w:r>
          </w:p>
        </w:tc>
      </w:tr>
      <w:tr w:rsidR="00F95910" w14:paraId="6E11586C" w14:textId="77777777">
        <w:tc>
          <w:tcPr>
            <w:tcW w:w="1948" w:type="dxa"/>
          </w:tcPr>
          <w:p w14:paraId="218A1FD0" w14:textId="77777777" w:rsidR="00F95910" w:rsidRDefault="00000000">
            <w:r>
              <w:t>Zmiana</w:t>
            </w:r>
          </w:p>
        </w:tc>
        <w:tc>
          <w:tcPr>
            <w:tcW w:w="6908" w:type="dxa"/>
          </w:tcPr>
          <w:p w14:paraId="4AF32CFA" w14:textId="77777777" w:rsidR="00F95910" w:rsidRDefault="00000000">
            <w:r>
              <w:t>Migracja istniejących kont bez utraty haseł, sesji i historii: junior -&gt; Flow 1 / Internal Front Office, senior -&gt; Flow 1 / Area Sales Manager (zespół zachowany), admin -&gt; Administrator. Wszystkie dotychczasowe oferty przypisane do Flow 1. Nowe konto zakładane przez administratora nie ma dostępu, dopóki nie zostanie przypisane do flow i roli.</w:t>
            </w:r>
          </w:p>
        </w:tc>
      </w:tr>
      <w:tr w:rsidR="00F95910" w14:paraId="6E11586C" w14:textId="77777777">
        <w:tc>
          <w:tcPr>
            <w:tcW w:w="1948" w:type="dxa"/>
          </w:tcPr>
          <w:p w14:paraId="218A1FD0" w14:textId="77777777" w:rsidR="00F95910" w:rsidRDefault="00000000">
            <w:r>
              <w:t>Bezpieczeństwo</w:t>
            </w:r>
          </w:p>
        </w:tc>
        <w:tc>
          <w:tcPr>
            <w:tcW w:w="6908" w:type="dxa"/>
          </w:tcPr>
          <w:p w14:paraId="4AF32CFA" w14:textId="77777777" w:rsidR="00F95910" w:rsidRDefault="00000000">
            <w:r>
              <w:t>Uprawnienia sprawdzane przy każdym żądaniu na podstawie aktualnej konfiguracji w bazie (w kodzie nie ma już nazw ról). Widoczność ofert egzekwowana po stronie serwera dla list ofert, kolejki walidacji i panelu Analiza. Nikt nie zatwierdza własnej oferty, starsze wersje oferty są tylko do odczytu, żądania zmieniające dane z obcej domeny są odrzucane.</w:t>
            </w:r>
          </w:p>
        </w:tc>
      </w:tr>
      <w:tr w:rsidR="00F95910" w14:paraId="6E11586C" w14:textId="77777777">
        <w:tc>
          <w:tcPr>
            <w:tcW w:w="1948" w:type="dxa"/>
          </w:tcPr>
          <w:p w14:paraId="218A1FD0" w14:textId="77777777" w:rsidR="00F95910" w:rsidRDefault="00000000">
            <w:r>
              <w:t>Nowa funkcja</w:t>
            </w:r>
          </w:p>
        </w:tc>
        <w:tc>
          <w:tcPr>
            <w:tcW w:w="6908" w:type="dxa"/>
          </w:tcPr>
          <w:p w14:paraId="4AF32CFA" w14:textId="77777777" w:rsidR="00F95910" w:rsidRDefault="00000000">
            <w:r>
              <w:t>Automatyczne testy silnika reguł (npm test) obejmujące scenariusze T1-T5 z arkusza SYMULATOR oraz przypadki brzegowe (błędne daty ważności, wyzerowana wartość pozycji, eskalacja NPR).</w:t>
            </w:r>
          </w:p>
        </w:tc>
      </w:tr>
      <w:tr w:rsidR="00F95910" w14:paraId="6E11586C" w14:textId="77777777">
        <w:tc>
          <w:tcPr>
            <w:tcW w:w="1948" w:type="dxa"/>
          </w:tcPr>
          <w:p w14:paraId="218A1FD0" w14:textId="77777777" w:rsidR="00F95910" w:rsidRDefault="00000000">
            <w:r>
              <w:t>Bezpieczeństwo</w:t>
            </w:r>
          </w:p>
        </w:tc>
        <w:tc>
          <w:tcPr>
            <w:tcW w:w="6908" w:type="dxa"/>
          </w:tcPr>
          <w:p w14:paraId="4AF32CFA" w14:textId="77777777" w:rsidR="00F95910" w:rsidRDefault="00000000">
            <w:r>
              <w:t>Serwer sprawdza kompletność i spójność każdej pozycji przy zapisie oferty: gatunek, wymiary, tonaż oraz zgodność kwot (marża = (PGL + Σ Huta) × marża %, cena = PGL + Σ Huta + marża + dopłata + transport + Σ SSC, wartość = cena × tony). Oferta z niespójnymi wartościami jest odrzucana z komunikatem wskazującym pozycję. Przyczyna błędnych ofert testowych „SMOKE” (pozycje bez gatunku i wymiarów, cena 0 €/t przy wartości 100 €); dane testowe przeliczono poprawnie. Testy automatyczne z przykładem liczbowym (645 + 46, marża 7% = 48,37 → cena 814,37 €/t).</w:t>
            </w:r>
          </w:p>
        </w:tc>
      </w:tr>
      <w:tr w:rsidR="00F95910" w14:paraId="6E11586C" w14:textId="77777777">
        <w:tc>
          <w:tcPr>
            <w:tcW w:w="1948" w:type="dxa"/>
          </w:tcPr>
          <w:p w14:paraId="218A1FD0" w14:textId="77777777" w:rsidR="00F95910" w:rsidRDefault="00000000">
            <w:r>
              <w:t>Zmiana</w:t>
            </w:r>
          </w:p>
        </w:tc>
        <w:tc>
          <w:tcPr>
            <w:tcW w:w="6908" w:type="dxa"/>
          </w:tcPr>
          <w:p w14:paraId="4AF32CFA" w14:textId="77777777" w:rsidR="00F95910" w:rsidRDefault="00000000">
            <w:r>
              <w:t>Obieg zatwierdzania według odpowiedzi biznesu z 12.10.2026: Head of Projects zastępuje poziomy N+1 i N+2. W Flow 2 reguła „do N+1” lub „do N+2” trafia do Head of Projects, a CEO przeniesiono na N+3. We Flow 1 przy marży poniżej zakładanej i obniżeniu bazy wystarcza jedna zgoda Head of Projects (obowiązuje najwyższy wymagany poziom); przy wymaganym N+3 potrzebny jest jeszcze CEO. Zakres zastępstwa ustawia się w panelu Role i poziomy.</w:t>
            </w:r>
          </w:p>
        </w:tc>
      </w:tr>
      <w:tr w:rsidR="00F95910" w14:paraId="6E11586C" w14:textId="77777777">
        <w:tc>
          <w:tcPr>
            <w:tcW w:w="1948" w:type="dxa"/>
          </w:tcPr>
          <w:p w14:paraId="218A1FD0" w14:textId="77777777" w:rsidR="00F95910" w:rsidRDefault="00000000">
            <w:r>
              <w:t>Nowa funkcja</w:t>
            </w:r>
          </w:p>
        </w:tc>
        <w:tc>
          <w:tcPr>
            <w:tcW w:w="6908" w:type="dxa"/>
          </w:tcPr>
          <w:p w14:paraId="4AF32CFA" w14:textId="77777777" w:rsidR="00F95910" w:rsidRDefault="00000000">
            <w:r>
              <w:t>Zastępstwo: ofertę czekającą na niższy poziom może zatwierdzić każdy wyższy poziom (np. N+2 lub N+3 za N+1). W kolejce i w kalkulatorze widać informację, że wymagana jest tylko walidacja niższego poziomu i nie trzeba jej zatwierdzać.</w:t>
            </w:r>
          </w:p>
        </w:tc>
      </w:tr>
      <w:tr w:rsidR="00F95910" w14:paraId="6E11586C" w14:textId="77777777">
        <w:tc>
          <w:tcPr>
            <w:tcW w:w="1948" w:type="dxa"/>
          </w:tcPr>
          <w:p w14:paraId="218A1FD0" w14:textId="77777777" w:rsidR="00F95910" w:rsidRDefault="00000000">
            <w:r>
              <w:t>Zmiana</w:t>
            </w:r>
          </w:p>
        </w:tc>
        <w:tc>
          <w:tcPr>
            <w:tcW w:w="6908" w:type="dxa"/>
          </w:tcPr>
          <w:p w14:paraId="4AF32CFA" w14:textId="77777777" w:rsidR="00F95910" w:rsidRDefault="00000000">
            <w:r>
              <w:t>Reguła marży N+2: marża 2,1% lub niższa (wcześniej: o 2,1 p.p. poniżej marży zakładanej). Przykład przy celu 4,5%: 4,0% → N+1, 2,4% → N+1 (wcześniej N+2), 2,1% → N+2. Usunięto kolumnę „Priorytet” z reguł (artefakt arkusza źródłowego).</w:t>
            </w:r>
          </w:p>
        </w:tc>
      </w:tr>
      <w:tr w:rsidR="00F95910" w14:paraId="6E11586C" w14:textId="77777777">
        <w:tc>
          <w:tcPr>
            <w:tcW w:w="1948" w:type="dxa"/>
          </w:tcPr>
          <w:p w14:paraId="218A1FD0" w14:textId="77777777" w:rsidR="00F95910" w:rsidRDefault="00000000">
            <w:r>
              <w:t>Nowa funkcja</w:t>
            </w:r>
          </w:p>
        </w:tc>
        <w:tc>
          <w:tcPr>
            <w:tcW w:w="6908" w:type="dxa"/>
          </w:tcPr>
          <w:p w14:paraId="4AF32CFA" w14:textId="77777777" w:rsidR="00F95910" w:rsidRDefault="00000000">
            <w:r>
              <w:t>Jedna osoba pracuje w jednym flow. W kilku flow mogą być tylko role oznaczone w panelu „Może pracować w kilku flow” (Head of Projects, CEO).</w:t>
            </w:r>
          </w:p>
        </w:tc>
      </w:tr>
      <w:tr w:rsidR="00F95910" w14:paraId="6E11586C" w14:textId="77777777">
        <w:tc>
          <w:tcPr>
            <w:tcW w:w="1948" w:type="dxa"/>
          </w:tcPr>
          <w:p w14:paraId="218A1FD0" w14:textId="77777777" w:rsidR="00F95910" w:rsidRDefault="00000000">
            <w:r>
              <w:t>Zmiana</w:t>
            </w:r>
          </w:p>
        </w:tc>
        <w:tc>
          <w:tcPr>
            <w:tcW w:w="6908" w:type="dxa"/>
          </w:tcPr>
          <w:p w14:paraId="4AF32CFA" w14:textId="77777777" w:rsidR="00F95910" w:rsidRDefault="00000000">
            <w:r>
              <w:t>Widoczność: Head of Cluster widzi wszystkie oferty dystrybucji (Flow 1); zatwierdzający widzi zatwierdzoną lub odrzuconą przez siebie ofertę do czasu decyzji klienta.</w:t>
            </w:r>
          </w:p>
        </w:tc>
      </w:tr>
    </w:tbl>
    <w:p w14:paraId="669D4AD3" w14:textId="77777777" w:rsidR="00BA4AAF" w:rsidRDefault="00250F91">
      <w:pPr>
        <w:spacing w:before="240" w:after="40"/>
      </w:pPr>
      <w:r>
        <w:rPr>
          <w:b/>
          <w:color w:val="2B57A6"/>
          <w:sz w:val="26"/>
        </w:rPr>
        <w:t>Kalkulator wyceny</w:t>
      </w:r>
    </w:p>
    <w:p w14:paraId="3B4C6C66" w14:textId="77777777" w:rsidR="00BA4AAF" w:rsidRDefault="00250F91">
      <w:pPr>
        <w:spacing w:after="80"/>
      </w:pPr>
      <w:r>
        <w:rPr>
          <w:i/>
          <w:color w:val="666666"/>
          <w:sz w:val="18"/>
        </w:rPr>
        <w:t>Typy stali, gatunki, dopłaty huty i przetwórcze, marża, logika ceny końcowej.</w:t>
      </w:r>
    </w:p>
    <w:tbl>
      <w:tblPr>
        <w:tblStyle w:val="Tabela-Siatka"/>
        <w:tblW w:w="0" w:type="auto"/>
        <w:tblLook w:val="04A0" w:firstRow="1" w:lastRow="0" w:firstColumn="1" w:lastColumn="0" w:noHBand="0" w:noVBand="1"/>
      </w:tblPr>
      <w:tblGrid>
        <w:gridCol w:w="1963"/>
        <w:gridCol w:w="6893"/>
      </w:tblGrid>
      <w:tr w:rsidR="00BA4AAF" w14:paraId="37765086" w14:textId="77777777" w:rsidTr="006F108A">
        <w:tc>
          <w:tcPr>
            <w:tcW w:w="1967" w:type="dxa"/>
            <w:shd w:val="clear" w:color="auto" w:fill="EEF2F8"/>
          </w:tcPr>
          <w:p w14:paraId="7DE76688" w14:textId="77777777" w:rsidR="00BA4AAF" w:rsidRDefault="00250F91">
            <w:r>
              <w:rPr>
                <w:b/>
                <w:color w:val="1F2A44"/>
              </w:rPr>
              <w:t>Typ</w:t>
            </w:r>
          </w:p>
        </w:tc>
        <w:tc>
          <w:tcPr>
            <w:tcW w:w="6889" w:type="dxa"/>
            <w:shd w:val="clear" w:color="auto" w:fill="EEF2F8"/>
          </w:tcPr>
          <w:p w14:paraId="31557BAC" w14:textId="77777777" w:rsidR="00BA4AAF" w:rsidRDefault="00250F91">
            <w:r>
              <w:rPr>
                <w:b/>
                <w:color w:val="1F2A44"/>
              </w:rPr>
              <w:t>Opis zmiany</w:t>
            </w:r>
          </w:p>
        </w:tc>
      </w:tr>
      <w:tr w:rsidR="00F95910" w14:paraId="6E11586C" w14:textId="77777777">
        <w:tc>
          <w:tcPr>
            <w:tcW w:w="1948" w:type="dxa"/>
          </w:tcPr>
          <w:p w14:paraId="218A1FD0" w14:textId="77777777" w:rsidR="00F95910" w:rsidRDefault="00000000">
            <w:r>
              <w:t>Zmiana</w:t>
            </w:r>
          </w:p>
        </w:tc>
        <w:tc>
          <w:tcPr>
            <w:tcW w:w="6908" w:type="dxa"/>
          </w:tcPr>
          <w:p w14:paraId="4AF32CFA" w14:textId="77777777" w:rsidR="00F95910" w:rsidRDefault="00000000">
            <w:r>
              <w:t>Pola bazy PGL oraz ceny / marży są zablokowane, gdy rola w danym flow nie ma takiego uprawnienia (np. Front Office we Flow 1 nie zmienia bazy PGL). Serwer odrzuca niedozwoloną zmianę także przy zapisie z pominięciem interfejsu.</w:t>
            </w:r>
          </w:p>
        </w:tc>
      </w:tr>
      <w:tr w:rsidR="00F95910" w14:paraId="6E11586C" w14:textId="77777777">
        <w:tc>
          <w:tcPr>
            <w:tcW w:w="1948" w:type="dxa"/>
          </w:tcPr>
          <w:p w14:paraId="218A1FD0" w14:textId="77777777" w:rsidR="00F95910" w:rsidRDefault="00000000">
            <w:r>
              <w:t>Nowa funkcja</w:t>
            </w:r>
          </w:p>
        </w:tc>
        <w:tc>
          <w:tcPr>
            <w:tcW w:w="6908" w:type="dxa"/>
          </w:tcPr>
          <w:p w14:paraId="4AF32CFA" w14:textId="77777777" w:rsidR="00F95910" w:rsidRDefault="00000000">
            <w:r>
              <w:t>Zestawienie: nowa kolumna PGL oraz marża pokazywana jako kwota i procent (np. 73,22 / 7%). Kolumny ceny, tonażu i wartości nie zawijają się na węższych ekranach.</w:t>
            </w:r>
          </w:p>
        </w:tc>
      </w:tr>
    </w:tbl>
    <w:p w14:paraId="47C2EC5D" w14:textId="77777777" w:rsidR="00BA4AAF" w:rsidRDefault="00250F91">
      <w:pPr>
        <w:spacing w:before="240" w:after="40"/>
      </w:pPr>
      <w:r>
        <w:rPr>
          <w:b/>
          <w:color w:val="2B57A6"/>
          <w:sz w:val="26"/>
        </w:rPr>
        <w:t>Zarządzanie ofertami</w:t>
      </w:r>
    </w:p>
    <w:p w14:paraId="1BF2875A" w14:textId="77777777" w:rsidR="00BA4AAF" w:rsidRDefault="00250F91">
      <w:pPr>
        <w:spacing w:after="80"/>
      </w:pPr>
      <w:r>
        <w:rPr>
          <w:i/>
          <w:color w:val="666666"/>
          <w:sz w:val="18"/>
        </w:rPr>
        <w:t>Tworzenie, zapis, lista, edycja, duplikowanie i usuwanie ofert.</w:t>
      </w:r>
    </w:p>
    <w:tbl>
      <w:tblPr>
        <w:tblStyle w:val="Tabela-Siatka"/>
        <w:tblW w:w="0" w:type="auto"/>
        <w:tblLook w:val="04A0" w:firstRow="1" w:lastRow="0" w:firstColumn="1" w:lastColumn="0" w:noHBand="0" w:noVBand="1"/>
      </w:tblPr>
      <w:tblGrid>
        <w:gridCol w:w="1944"/>
        <w:gridCol w:w="6912"/>
      </w:tblGrid>
      <w:tr w:rsidR="00BA4AAF" w14:paraId="490A0C63" w14:textId="77777777">
        <w:tc>
          <w:tcPr>
            <w:tcW w:w="1984" w:type="dxa"/>
            <w:shd w:val="clear" w:color="auto" w:fill="EEF2F8"/>
          </w:tcPr>
          <w:p w14:paraId="423F39D3" w14:textId="77777777" w:rsidR="00BA4AAF" w:rsidRDefault="00250F91">
            <w:r>
              <w:rPr>
                <w:b/>
                <w:color w:val="1F2A44"/>
              </w:rPr>
              <w:t>Typ</w:t>
            </w:r>
          </w:p>
        </w:tc>
        <w:tc>
          <w:tcPr>
            <w:tcW w:w="7087" w:type="dxa"/>
            <w:shd w:val="clear" w:color="auto" w:fill="EEF2F8"/>
          </w:tcPr>
          <w:p w14:paraId="0E9A1AFD" w14:textId="77777777" w:rsidR="00BA4AAF" w:rsidRDefault="00250F91">
            <w:r>
              <w:rPr>
                <w:b/>
                <w:color w:val="1F2A44"/>
              </w:rPr>
              <w:t>Opis zmiany</w:t>
            </w:r>
          </w:p>
        </w:tc>
      </w:tr>
      <w:tr w:rsidR="00F95910" w14:paraId="6E11586C" w14:textId="77777777">
        <w:tc>
          <w:tcPr>
            <w:tcW w:w="1948" w:type="dxa"/>
          </w:tcPr>
          <w:p w14:paraId="218A1FD0" w14:textId="77777777" w:rsidR="00F95910" w:rsidRDefault="00000000">
            <w:r>
              <w:t>Poprawka</w:t>
            </w:r>
          </w:p>
        </w:tc>
        <w:tc>
          <w:tcPr>
            <w:tcW w:w="6908" w:type="dxa"/>
          </w:tcPr>
          <w:p w14:paraId="4AF32CFA" w14:textId="77777777" w:rsidR="00F95910" w:rsidRDefault="00000000">
            <w:r>
              <w:t>Naprawiono brak możliwości podejrzenia cen i specyfikacji oferty oczekującej na walidację w panelu Starszego handlowca (zgłoszenie testerów). Liczba pozycji oraz link „+N więcej” pod ofertą są teraz klikalne i rozwijają tabelę pozycji: gatunek i wymiary, typ, cena jednostkowa, tony i wartość pozycji, w walucie oferty. Widok i działanie takie same jak na liście „Moje oferty”. Zmiana wyłącznie prezentacyjna - bez wpływu na wyliczenia cen.</w:t>
            </w:r>
          </w:p>
        </w:tc>
      </w:tr>
      <w:tr w:rsidR="00F95910" w14:paraId="6E11586C" w14:textId="77777777">
        <w:tc>
          <w:tcPr>
            <w:tcW w:w="1948" w:type="dxa"/>
          </w:tcPr>
          <w:p w14:paraId="218A1FD0" w14:textId="77777777" w:rsidR="00F95910" w:rsidRDefault="00000000">
            <w:r>
              <w:t>Nowa funkcja</w:t>
            </w:r>
          </w:p>
        </w:tc>
        <w:tc>
          <w:tcPr>
            <w:tcW w:w="6908" w:type="dxa"/>
          </w:tcPr>
          <w:p w14:paraId="4AF32CFA" w14:textId="77777777" w:rsidR="00F95910" w:rsidRDefault="00000000">
            <w:r>
              <w:t>Walidacja oferty bezpośrednio z kalkulatora: po wejściu w ofertę oczekującą na weryfikację (przycisk „Edytuj w kalkulatorze”) Starszy handlowiec / Administrator ma na górze przyciski „Zatwierdź” i „Odrzuć” (odrzucenie wymaga powodu). Przy niezapisanych zmianach przyciski są zablokowane z podpowiedzią - decyzja dotyczy zapisanej wersji oferty. Po decyzji następuje powrót do panelu Starszego handlowca.</w:t>
            </w:r>
          </w:p>
        </w:tc>
      </w:tr>
      <w:tr w:rsidR="00F95910" w14:paraId="6E11586C" w14:textId="77777777">
        <w:tc>
          <w:tcPr>
            <w:tcW w:w="1948" w:type="dxa"/>
          </w:tcPr>
          <w:p w14:paraId="218A1FD0" w14:textId="77777777" w:rsidR="00F95910" w:rsidRDefault="00000000">
            <w:r>
              <w:t>Nowa funkcja</w:t>
            </w:r>
          </w:p>
        </w:tc>
        <w:tc>
          <w:tcPr>
            <w:tcW w:w="6908" w:type="dxa"/>
          </w:tcPr>
          <w:p w14:paraId="4AF32CFA" w14:textId="77777777" w:rsidR="00F95910" w:rsidRDefault="00000000">
            <w:r>
              <w:t>Informacja o cenie poniżej wytycznych przed walidacją: w panelu Starszego handlowca (oferta oczekująca na weryfikację) oraz w kalkulatorze pod paskiem walidacji pojawia się lista pozycji, które nie spełniają wytycznych, z konkretną wartością i progiem - np. „marża 4% &lt; min 6%” albo „PGL 640 &lt; baza 645”. Reguła jest ta sama, która decyduje o konieczności zatwierdzenia oferty (jedno źródło w kodzie), więc komunikat nie może się rozjechać z wymogiem.</w:t>
            </w:r>
          </w:p>
        </w:tc>
      </w:tr>
      <w:tr w:rsidR="00F95910" w14:paraId="6E11586C" w14:textId="77777777">
        <w:tc>
          <w:tcPr>
            <w:tcW w:w="1948" w:type="dxa"/>
          </w:tcPr>
          <w:p w14:paraId="218A1FD0" w14:textId="77777777" w:rsidR="00F95910" w:rsidRDefault="00000000">
            <w:r>
              <w:t>Nowa funkcja</w:t>
            </w:r>
          </w:p>
        </w:tc>
        <w:tc>
          <w:tcPr>
            <w:tcW w:w="6908" w:type="dxa"/>
          </w:tcPr>
          <w:p w14:paraId="4AF32CFA" w14:textId="77777777" w:rsidR="00F95910" w:rsidRDefault="00000000">
            <w:r>
              <w:t>Powód odrzucenia oferty przez klienta jako lista rozwijana: przy oznaczeniu oferty wysłanej jako „Przegrana” zamiast wolnego tekstu pojawia się okno z listą powodów (cena, termin dostawy, wybrał konkurencję, projekt anulowany, brak odpowiedzi klienta, warunki płatności, inne). Wybór jest opcjonalny - brak wyboru zapisuje powód „Inne”, a przy „Inne” można wpisać własny powód. Powód widać w oznaczeniu przy ofercie. Oferty oznaczone wcześniej jako przegrane dostały powód „Inne” (dotychczasowa notatka zostaje). Wymaga uruchomienia migracji 024 na bazie przed wdrożeniem.</w:t>
            </w:r>
          </w:p>
        </w:tc>
      </w:tr>
      <w:tr w:rsidR="00F95910" w14:paraId="6E11586C" w14:textId="77777777">
        <w:tc>
          <w:tcPr>
            <w:tcW w:w="1948" w:type="dxa"/>
          </w:tcPr>
          <w:p w14:paraId="218A1FD0" w14:textId="77777777" w:rsidR="00F95910" w:rsidRDefault="00000000">
            <w:r>
              <w:t>Nowa funkcja</w:t>
            </w:r>
          </w:p>
        </w:tc>
        <w:tc>
          <w:tcPr>
            <w:tcW w:w="6908" w:type="dxa"/>
          </w:tcPr>
          <w:p w14:paraId="4AF32CFA" w14:textId="77777777" w:rsidR="00F95910" w:rsidRDefault="00000000">
            <w:r>
              <w:t>Statystyki powodów odrzucenia w panelu Analiza: nowy panel „Powody odrzucenia przez klienta” pod wykresem wygranych i przegranych. Pokazuje, ile ofert (oraz ile ton i jaką wartość) przegrano z każdego powodu, wraz z udziałem procentowym - od najczęstszego powodu. Respektuje filtry panelu (okres, handlowiec, klient, typ stali) i wybraną walutę; przegrane sprzed wprowadzenia listy liczone są jako „Inne”.</w:t>
            </w:r>
          </w:p>
        </w:tc>
      </w:tr>
      <w:tr w:rsidR="00F95910" w14:paraId="6E11586C" w14:textId="77777777">
        <w:tc>
          <w:tcPr>
            <w:tcW w:w="1948" w:type="dxa"/>
          </w:tcPr>
          <w:p w14:paraId="218A1FD0" w14:textId="77777777" w:rsidR="00F95910" w:rsidRDefault="00000000">
            <w:r>
              <w:t>Poprawka</w:t>
            </w:r>
          </w:p>
        </w:tc>
        <w:tc>
          <w:tcPr>
            <w:tcW w:w="6908" w:type="dxa"/>
          </w:tcPr>
          <w:p w14:paraId="4AF32CFA" w14:textId="77777777" w:rsidR="00F95910" w:rsidRDefault="00000000">
            <w:r>
              <w:t>Dostępność nowych okien dialogowych (odrzucenie oferty przez seniora, powód odrzucenia przez klienta): klawisz Tab krąży tylko po elementach okna i nie wychodzi na stronę pod spodem, okno zamyka Escape lub kliknięcie w tło, a po zamknięciu fokus wraca na przycisk, który je otworzył. Pola mają etykiety dla czytników ekranu, a przycisk Anuluj jest zablokowany w trakcie zapisu.</w:t>
            </w:r>
          </w:p>
        </w:tc>
      </w:tr>
      <w:tr w:rsidR="00F95910" w14:paraId="6E11586C" w14:textId="77777777">
        <w:tc>
          <w:tcPr>
            <w:tcW w:w="1948" w:type="dxa"/>
          </w:tcPr>
          <w:p w14:paraId="218A1FD0" w14:textId="77777777" w:rsidR="00F95910" w:rsidRDefault="00000000">
            <w:r>
              <w:t>Nowa funkcja</w:t>
            </w:r>
          </w:p>
        </w:tc>
        <w:tc>
          <w:tcPr>
            <w:tcW w:w="6908" w:type="dxa"/>
          </w:tcPr>
          <w:p w14:paraId="4AF32CFA" w14:textId="77777777" w:rsidR="00F95910" w:rsidRDefault="00000000">
            <w:r>
              <w:t>Przycisk „Dashboard” (🏠) jako pierwsza zakładka głównej nawigacji dla osób walidujących (senior, admin): widoczny zaraz po zalogowaniu i prowadzi do ich panelu (senior – panel walidacji, admin – pulpit). Zastępuje osobne zakładki „Panel Seniora” i „Panel Admina”, które prowadziły do tych samych stron.</w:t>
            </w:r>
          </w:p>
        </w:tc>
      </w:tr>
      <w:tr w:rsidR="00F95910" w14:paraId="6E11586C" w14:textId="77777777">
        <w:tc>
          <w:tcPr>
            <w:tcW w:w="1948" w:type="dxa"/>
          </w:tcPr>
          <w:p w14:paraId="218A1FD0" w14:textId="77777777" w:rsidR="00F95910" w:rsidRDefault="00000000">
            <w:r>
              <w:t>Nowa funkcja</w:t>
            </w:r>
          </w:p>
        </w:tc>
        <w:tc>
          <w:tcPr>
            <w:tcW w:w="6908" w:type="dxa"/>
          </w:tcPr>
          <w:p w14:paraId="4AF32CFA" w14:textId="77777777" w:rsidR="00F95910" w:rsidRDefault="00000000">
            <w:r>
              <w:t>Silnik reguł walidacji: przy wysyłce do walidacji wymagany poziom akceptacji to najwyższy poziom spośród spełnionych reguł (marża poniżej zakładanej 4,5% -&gt; N+1, niedobór marży co najmniej 2,1 p.p. -&gt; N+2, obniżenie bazy wyceny -&gt; NPR, termin ważności powyżej 48h, ważność ceny kwartał / dłużej niż kwartał, wartość oferty powyżej 1 000 000 EUR). Reguła NPR to dodatkowa, równoległa akceptacja. Gdy żadna reguła nie jest spełniona albo poziom twórcy ją pokrywa, oferta może wyjść do klienta bez walidacji.</w:t>
            </w:r>
          </w:p>
        </w:tc>
      </w:tr>
      <w:tr w:rsidR="00F95910" w14:paraId="6E11586C" w14:textId="77777777">
        <w:tc>
          <w:tcPr>
            <w:tcW w:w="1948" w:type="dxa"/>
          </w:tcPr>
          <w:p w14:paraId="218A1FD0" w14:textId="77777777" w:rsidR="00F95910" w:rsidRDefault="00000000">
            <w:r>
              <w:t>Nowa funkcja</w:t>
            </w:r>
          </w:p>
        </w:tc>
        <w:tc>
          <w:tcPr>
            <w:tcW w:w="6908" w:type="dxa"/>
          </w:tcPr>
          <w:p w14:paraId="4AF32CFA" w14:textId="77777777" w:rsidR="00F95910" w:rsidRDefault="00000000">
            <w:r>
              <w:t>Kolejka „Do walidacji”: oferta trafia do wszystkich osób z rolą na wymaganym poziomie w danym flow. Walidujący może ofertę edytować (reguły liczą się ponownie i mogą podnieść poziom), odrzucić z instrukcją dla handlowca, zatwierdzić albo zatwierdzić i od razu wysłać do klienta w imieniu handlowca (zapisywane jest, kto wysłał).</w:t>
            </w:r>
          </w:p>
        </w:tc>
      </w:tr>
      <w:tr w:rsidR="00F95910" w14:paraId="6E11586C" w14:textId="77777777">
        <w:tc>
          <w:tcPr>
            <w:tcW w:w="1948" w:type="dxa"/>
          </w:tcPr>
          <w:p w14:paraId="218A1FD0" w14:textId="77777777" w:rsidR="00F95910" w:rsidRDefault="00000000">
            <w:r>
              <w:t>Nowa funkcja</w:t>
            </w:r>
          </w:p>
        </w:tc>
        <w:tc>
          <w:tcPr>
            <w:tcW w:w="6908" w:type="dxa"/>
          </w:tcPr>
          <w:p w14:paraId="4AF32CFA" w14:textId="77777777" w:rsidR="00F95910" w:rsidRDefault="00000000">
            <w:r>
              <w:t>Konflikt konfiguracji (scenariusz T5): gdy reguła wymaga poziomu, którego nie ma w danym flow, oferta jest eskalowana do najbliższego wyższego istniejącego poziomu z widoczną adnotacją. Administrator może zamiast tego wybrać blokadę wysyłki albo eskalację do najwyższego poziomu.</w:t>
            </w:r>
          </w:p>
        </w:tc>
      </w:tr>
      <w:tr w:rsidR="00F95910" w14:paraId="6E11586C" w14:textId="77777777">
        <w:tc>
          <w:tcPr>
            <w:tcW w:w="1948" w:type="dxa"/>
          </w:tcPr>
          <w:p w14:paraId="218A1FD0" w14:textId="77777777" w:rsidR="00F95910" w:rsidRDefault="00000000">
            <w:r>
              <w:t>Nowa funkcja</w:t>
            </w:r>
          </w:p>
        </w:tc>
        <w:tc>
          <w:tcPr>
            <w:tcW w:w="6908" w:type="dxa"/>
          </w:tcPr>
          <w:p w14:paraId="4AF32CFA" w14:textId="77777777" w:rsidR="00F95910" w:rsidRDefault="00000000">
            <w:r>
              <w:t>Panel weryfikującego: klikalne kafelki jak w panelu administratora - „Oczekujące na weryfikację”, „Oczekujące na wysłanie” oraz oferty wg statusu. Kliknięcie filtruje listę i przewija do ofert z akcjami (zatwierdź / odrzuć / wyślij).</w:t>
            </w:r>
          </w:p>
        </w:tc>
      </w:tr>
      <w:tr w:rsidR="00F95910" w14:paraId="6E11586C" w14:textId="77777777">
        <w:tc>
          <w:tcPr>
            <w:tcW w:w="1948" w:type="dxa"/>
          </w:tcPr>
          <w:p w14:paraId="218A1FD0" w14:textId="77777777" w:rsidR="00F95910" w:rsidRDefault="00000000">
            <w:r>
              <w:t>Poprawka</w:t>
            </w:r>
          </w:p>
        </w:tc>
        <w:tc>
          <w:tcPr>
            <w:tcW w:w="6908" w:type="dxa"/>
          </w:tcPr>
          <w:p w14:paraId="4AF32CFA" w14:textId="77777777" w:rsidR="00F95910" w:rsidRDefault="00000000">
            <w:r>
              <w:t>Zatwierdzenie oferty ponownie sprawdza aktualne reguły. Wymagany poziom akceptacji jest zapisywany w chwili wysyłki do walidacji, więc po zmianie reguł (a także dla ofert przeniesionych z wersji 1.x z krokiem N+1) niższy poziom mógł zatwierdzić ofertę, która według dzisiejszych reguł wymaga wyższego. Teraz, jeśli reguły wymagają poziomu, którego oferta nie ma, zatwierdzenie nie dochodzi do skutku: oferta jest przekierowana na właściwy poziom, a walidujący widzi komunikat. Kroki już zatwierdzone (np. NPR) pozostają ważne, a poziom nigdy nie jest obniżany. Przykład: oferta wysłana przy marży 4,0% (niedobór 0,5 pp -&gt; N+1), a dziś z marżą 2,4% (niedobór 2,1 pp) wymaga N+2 - ASM nie może jej już zatwierdzić. Na danych testowych dotyczy to 6 starszych ofert, które trafiłyby do N+2 + NPR.</w:t>
            </w:r>
          </w:p>
        </w:tc>
      </w:tr>
      <w:tr w:rsidR="00F95910" w14:paraId="6E11586C" w14:textId="77777777">
        <w:tc>
          <w:tcPr>
            <w:tcW w:w="1948" w:type="dxa"/>
          </w:tcPr>
          <w:p w14:paraId="218A1FD0" w14:textId="77777777" w:rsidR="00F95910" w:rsidRDefault="00000000">
            <w:r>
              <w:t>Poprawka</w:t>
            </w:r>
          </w:p>
        </w:tc>
        <w:tc>
          <w:tcPr>
            <w:tcW w:w="6908" w:type="dxa"/>
          </w:tcPr>
          <w:p w14:paraId="4AF32CFA" w14:textId="77777777" w:rsidR="00F95910" w:rsidRDefault="00000000">
            <w:r>
              <w:t>Nie dało się wejść w ofertę już wysłaną do klienta - kliknięcie wiersza na liście „Moje oferty” (oraz w panelu administratora, także w poprzednich wersjach) nic nie robiło. Teraz każda widoczna oferta się otwiera; oferta wysłana otwiera się w kalkulatorze w trybie „Podgląd (tylko do odczytu)”: szary pasek informacyjny, bez przycisku Zapisz, eksport PDF / Excel nadal dostępny, a przeglądanie nie wywołuje ostrzeżenia o niezapisanych zmianach.</w:t>
            </w:r>
          </w:p>
        </w:tc>
      </w:tr>
      <w:tr w:rsidR="00F95910" w14:paraId="6E11586C" w14:textId="77777777">
        <w:tc>
          <w:tcPr>
            <w:tcW w:w="1948" w:type="dxa"/>
          </w:tcPr>
          <w:p w14:paraId="218A1FD0" w14:textId="77777777" w:rsidR="00F95910" w:rsidRDefault="00000000">
            <w:r>
              <w:t>Nowa funkcja</w:t>
            </w:r>
          </w:p>
        </w:tc>
        <w:tc>
          <w:tcPr>
            <w:tcW w:w="6908" w:type="dxa"/>
          </w:tcPr>
          <w:p w14:paraId="4AF32CFA" w14:textId="77777777" w:rsidR="00F95910" w:rsidRDefault="00000000">
            <w:r>
              <w:t>Renegocjacja oferty przegranej: ofertę oznaczoną jako „Przegrana” (najnowszą wersję) można edytować - właściciel lub administrator. Kalkulator pokazuje pomarańczowy pasek „Renegocjacja”, a zapis tworzy nową wersję tej samej oferty (np. offer_30 -&gt; offer_30.1) jako szkic z decyzją klienta wyzerowaną do „oczekuje”; nowa runda przechodzi zwykłą walidację i wysyłkę. Oferty wygrane, oczekujące na odpowiedź klienta i starsze wersje pozostają tylko do odczytu (blokada także po stronie serwera), a decyzję klienta można zapisać wyłącznie na najnowszej wersji.</w:t>
            </w:r>
          </w:p>
        </w:tc>
      </w:tr>
      <w:tr w:rsidR="00F95910" w14:paraId="6E11586C" w14:textId="77777777">
        <w:tc>
          <w:tcPr>
            <w:tcW w:w="1948" w:type="dxa"/>
          </w:tcPr>
          <w:p w14:paraId="218A1FD0" w14:textId="77777777" w:rsidR="00F95910" w:rsidRDefault="00000000">
            <w:r>
              <w:t>Zmiana</w:t>
            </w:r>
          </w:p>
        </w:tc>
        <w:tc>
          <w:tcPr>
            <w:tcW w:w="6908" w:type="dxa"/>
          </w:tcPr>
          <w:p w14:paraId="4AF32CFA" w14:textId="77777777" w:rsidR="00F95910" w:rsidRDefault="00000000">
            <w:r>
              <w:t>Analityka liczy renegocjację jako jedną ofertę: cała rodzina wersji to jedna oferta, a jej wynik to wynik ostatniej rundy. Przykład: 3 rundy przegrane i 4. wygrana = 1 oferta wygrana (tonaż i wartość z ostatniej wersji); 4 rundy przegrane = 1 oferta przegrana. Liczniki ofert w panelu Handlowcy (łącznie / oczekujące / wysłane) również liczą rodziny ofert zamiast pojedynczych wersji. Zweryfikowano testem end-to-end (47 sprawdzeń) i porównaniem z bazą danych.</w:t>
            </w:r>
          </w:p>
        </w:tc>
      </w:tr>
      <w:tr w:rsidR="00F95910" w14:paraId="6E11586C" w14:textId="77777777">
        <w:tc>
          <w:tcPr>
            <w:tcW w:w="1948" w:type="dxa"/>
          </w:tcPr>
          <w:p w14:paraId="218A1FD0" w14:textId="77777777" w:rsidR="00F95910" w:rsidRDefault="00000000">
            <w:r>
              <w:t>Zmiana</w:t>
            </w:r>
          </w:p>
        </w:tc>
        <w:tc>
          <w:tcPr>
            <w:tcW w:w="6908" w:type="dxa"/>
          </w:tcPr>
          <w:p w14:paraId="4AF32CFA" w14:textId="77777777" w:rsidR="00F95910" w:rsidRDefault="00000000">
            <w:r>
              <w:t>Do klienta wysyła wyłącznie handlowiec, który stworzył ofertę. Zatwierdzający (także administrator) może ofertę poprawić, zatwierdzić lub odrzucić, ale jej nie wysyła; oferta w statystykach należy do twórcy. Usunięto przycisk „Zatwierdź i wyślij do klienta”.</w:t>
            </w:r>
          </w:p>
        </w:tc>
      </w:tr>
      <w:tr w:rsidR="00F95910" w14:paraId="6E11586C" w14:textId="77777777">
        <w:tc>
          <w:tcPr>
            <w:tcW w:w="1948" w:type="dxa"/>
          </w:tcPr>
          <w:p w14:paraId="218A1FD0" w14:textId="77777777" w:rsidR="00F95910" w:rsidRDefault="00000000">
            <w:r>
              <w:t>Nowa funkcja</w:t>
            </w:r>
          </w:p>
        </w:tc>
        <w:tc>
          <w:tcPr>
            <w:tcW w:w="6908" w:type="dxa"/>
          </w:tcPr>
          <w:p w14:paraId="4AF32CFA" w14:textId="77777777" w:rsidR="00F95910" w:rsidRDefault="00000000">
            <w:r>
              <w:t>Zatwierdzenie jest ważne 48 godzin od ostatniej wymaganej zgody (liczbę godzin ustawia administrator w panelu Reguły). Po tym czasie, albo gdy reguły lub PGL zmienią się tak, że oferta wymaga wyższego poziomu, oferta ma wyraźne oznaczenie i wraca do weryfikacji przyciskiem „Wyślij do weryfikacji”. Gdy reguły się poluzowały, zatwierdzenie zostaje ważne, a oferta ma informację o zmianie reguł.</w:t>
            </w:r>
          </w:p>
        </w:tc>
      </w:tr>
    </w:tbl>
    <w:p w14:paraId="2A7A0CC4" w14:textId="77777777" w:rsidR="00BA4AAF" w:rsidRDefault="00250F91">
      <w:pPr>
        <w:spacing w:before="240" w:after="40"/>
      </w:pPr>
      <w:r>
        <w:rPr>
          <w:b/>
          <w:color w:val="2B57A6"/>
          <w:sz w:val="26"/>
        </w:rPr>
        <w:t>Eksport PDF</w:t>
      </w:r>
    </w:p>
    <w:p w14:paraId="2748737A" w14:textId="77777777" w:rsidR="00BA4AAF" w:rsidRDefault="00250F91">
      <w:pPr>
        <w:spacing w:after="80"/>
      </w:pPr>
      <w:r>
        <w:rPr>
          <w:i/>
          <w:color w:val="666666"/>
          <w:sz w:val="18"/>
        </w:rPr>
        <w:t>Wygląd i zawartość oferty PDF, dane klienta.</w:t>
      </w:r>
    </w:p>
    <w:tbl>
      <w:tblPr>
        <w:tblStyle w:val="Tabela-Siatka"/>
        <w:tblW w:w="0" w:type="auto"/>
        <w:tblLook w:val="04A0" w:firstRow="1" w:lastRow="0" w:firstColumn="1" w:lastColumn="0" w:noHBand="0" w:noVBand="1"/>
      </w:tblPr>
      <w:tblGrid>
        <w:gridCol w:w="1944"/>
        <w:gridCol w:w="6912"/>
      </w:tblGrid>
      <w:tr w:rsidR="00BA4AAF" w14:paraId="658D61F9" w14:textId="77777777">
        <w:tc>
          <w:tcPr>
            <w:tcW w:w="1984" w:type="dxa"/>
            <w:shd w:val="clear" w:color="auto" w:fill="EEF2F8"/>
          </w:tcPr>
          <w:p w14:paraId="2182D29C" w14:textId="77777777" w:rsidR="00BA4AAF" w:rsidRDefault="00250F91">
            <w:r>
              <w:rPr>
                <w:b/>
                <w:color w:val="1F2A44"/>
              </w:rPr>
              <w:t>Typ</w:t>
            </w:r>
          </w:p>
        </w:tc>
        <w:tc>
          <w:tcPr>
            <w:tcW w:w="7087" w:type="dxa"/>
            <w:shd w:val="clear" w:color="auto" w:fill="EEF2F8"/>
          </w:tcPr>
          <w:p w14:paraId="32D6627F" w14:textId="77777777" w:rsidR="00BA4AAF" w:rsidRDefault="00250F91">
            <w:r>
              <w:rPr>
                <w:b/>
                <w:color w:val="1F2A44"/>
              </w:rPr>
              <w:t>Opis zmiany</w:t>
            </w:r>
          </w:p>
        </w:tc>
      </w:tr>
      <w:tr w:rsidR="00F95910" w14:paraId="6E11586C" w14:textId="77777777">
        <w:tc>
          <w:tcPr>
            <w:tcW w:w="1948" w:type="dxa"/>
          </w:tcPr>
          <w:p w14:paraId="218A1FD0" w14:textId="77777777" w:rsidR="00F95910" w:rsidRDefault="00000000">
            <w:r>
              <w:t>Poprawka</w:t>
            </w:r>
          </w:p>
        </w:tc>
        <w:tc>
          <w:tcPr>
            <w:tcW w:w="6908" w:type="dxa"/>
          </w:tcPr>
          <w:p w14:paraId="4AF32CFA" w14:textId="77777777" w:rsidR="00F95910" w:rsidRDefault="00000000">
            <w:r>
              <w:t>Pole „Przygotował” na PDF zapisanej oferty to zawsze handlowiec, który ją stworzył - także gdy PDF pobiera zatwierdzający lub administrator.</w:t>
            </w:r>
          </w:p>
        </w:tc>
      </w:tr>
    </w:tbl>
    <w:p w14:paraId="65F9EE92" w14:textId="77777777" w:rsidR="00BA4AAF" w:rsidRDefault="00250F91">
      <w:pPr>
        <w:spacing w:before="240" w:after="40"/>
      </w:pPr>
      <w:r>
        <w:rPr>
          <w:b/>
          <w:color w:val="2B57A6"/>
          <w:sz w:val="26"/>
        </w:rPr>
        <w:t>Interfejs i języki</w:t>
      </w:r>
    </w:p>
    <w:p w14:paraId="40425691" w14:textId="77777777" w:rsidR="00BA4AAF" w:rsidRDefault="00250F91">
      <w:pPr>
        <w:spacing w:after="80"/>
      </w:pPr>
      <w:r>
        <w:rPr>
          <w:i/>
          <w:color w:val="666666"/>
          <w:sz w:val="18"/>
        </w:rPr>
        <w:t>Wygląd aplikacji, użyteczność, dwujęzyczność (PL / EN).</w:t>
      </w:r>
    </w:p>
    <w:tbl>
      <w:tblPr>
        <w:tblStyle w:val="Tabela-Siatka"/>
        <w:tblW w:w="0" w:type="auto"/>
        <w:tblLook w:val="04A0" w:firstRow="1" w:lastRow="0" w:firstColumn="1" w:lastColumn="0" w:noHBand="0" w:noVBand="1"/>
      </w:tblPr>
      <w:tblGrid>
        <w:gridCol w:w="1963"/>
        <w:gridCol w:w="6893"/>
      </w:tblGrid>
      <w:tr w:rsidR="00BA4AAF" w14:paraId="1E0C8DFD" w14:textId="77777777" w:rsidTr="00892060">
        <w:tc>
          <w:tcPr>
            <w:tcW w:w="1963" w:type="dxa"/>
            <w:shd w:val="clear" w:color="auto" w:fill="EEF2F8"/>
          </w:tcPr>
          <w:p w14:paraId="4BFFD85C" w14:textId="77777777" w:rsidR="00BA4AAF" w:rsidRDefault="00250F91">
            <w:r>
              <w:rPr>
                <w:b/>
                <w:color w:val="1F2A44"/>
              </w:rPr>
              <w:t>Typ</w:t>
            </w:r>
          </w:p>
        </w:tc>
        <w:tc>
          <w:tcPr>
            <w:tcW w:w="6893" w:type="dxa"/>
            <w:shd w:val="clear" w:color="auto" w:fill="EEF2F8"/>
          </w:tcPr>
          <w:p w14:paraId="311C198A" w14:textId="77777777" w:rsidR="00BA4AAF" w:rsidRDefault="00250F91">
            <w:r>
              <w:rPr>
                <w:b/>
                <w:color w:val="1F2A44"/>
              </w:rPr>
              <w:t>Opis zmiany</w:t>
            </w:r>
          </w:p>
        </w:tc>
      </w:tr>
      <w:tr w:rsidR="00F95910" w14:paraId="6E11586C" w14:textId="77777777">
        <w:tc>
          <w:tcPr>
            <w:tcW w:w="1948" w:type="dxa"/>
          </w:tcPr>
          <w:p w14:paraId="218A1FD0" w14:textId="77777777" w:rsidR="00F95910" w:rsidRDefault="00000000">
            <w:r>
              <w:t>Nowa funkcja</w:t>
            </w:r>
          </w:p>
        </w:tc>
        <w:tc>
          <w:tcPr>
            <w:tcW w:w="6908" w:type="dxa"/>
          </w:tcPr>
          <w:p w14:paraId="4AF32CFA" w14:textId="77777777" w:rsidR="00F95910" w:rsidRDefault="00000000">
            <w:r>
              <w:t>Panel „Uprawnienia” w panelu administratora: flowy i ich członkowie, role i poziomy hierarchii z uprawnieniami, edytor reguł walidacji z kontrolą kompletności konfiguracji (progi „do uzupełnienia”), symulator wymaganej walidacji z gotowymi scenariuszami T1-T5 oraz macierz widoczności z wyliczanym na bieżąco efektywnym zakresem.</w:t>
            </w:r>
          </w:p>
        </w:tc>
      </w:tr>
      <w:tr w:rsidR="00F95910" w14:paraId="6E11586C" w14:textId="77777777">
        <w:tc>
          <w:tcPr>
            <w:tcW w:w="1948" w:type="dxa"/>
          </w:tcPr>
          <w:p w14:paraId="218A1FD0" w14:textId="77777777" w:rsidR="00F95910" w:rsidRDefault="00000000">
            <w:r>
              <w:t>Nowa funkcja</w:t>
            </w:r>
          </w:p>
        </w:tc>
        <w:tc>
          <w:tcPr>
            <w:tcW w:w="6908" w:type="dxa"/>
          </w:tcPr>
          <w:p w14:paraId="4AF32CFA" w14:textId="77777777" w:rsidR="00F95910" w:rsidRDefault="00000000">
            <w:r>
              <w:t>Panel Handlowcy: przypisanie osoby do roli w każdym flow, przełącznik Administratora, filtr po flow oraz widok piramidy (struktura organizacyjna flow: poziomy N0-N+3, NPR jako poziom równoległy, Administrator poza piramidą).</w:t>
            </w:r>
          </w:p>
        </w:tc>
      </w:tr>
      <w:tr w:rsidR="00F95910" w14:paraId="6E11586C" w14:textId="77777777">
        <w:tc>
          <w:tcPr>
            <w:tcW w:w="1948" w:type="dxa"/>
          </w:tcPr>
          <w:p w14:paraId="218A1FD0" w14:textId="77777777" w:rsidR="00F95910" w:rsidRDefault="00000000">
            <w:r>
              <w:t>Nowa funkcja</w:t>
            </w:r>
          </w:p>
        </w:tc>
        <w:tc>
          <w:tcPr>
            <w:tcW w:w="6908" w:type="dxa"/>
          </w:tcPr>
          <w:p w14:paraId="4AF32CFA" w14:textId="77777777" w:rsidR="00F95910" w:rsidRDefault="00000000">
            <w:r>
              <w:t>Przełącznik aktywnego flow w nawigacji dla osób przypisanych do kilku flow oraz plakietka z rolą i poziomem. Nowe teksty interfejsu w czterech językach (PL / EN / CS / DE).</w:t>
            </w:r>
          </w:p>
        </w:tc>
      </w:tr>
      <w:tr w:rsidR="00F95910" w14:paraId="6E11586C" w14:textId="77777777">
        <w:tc>
          <w:tcPr>
            <w:tcW w:w="1948" w:type="dxa"/>
          </w:tcPr>
          <w:p w14:paraId="218A1FD0" w14:textId="77777777" w:rsidR="00F95910" w:rsidRDefault="00000000">
            <w:r>
              <w:t>Nowa funkcja</w:t>
            </w:r>
          </w:p>
        </w:tc>
        <w:tc>
          <w:tcPr>
            <w:tcW w:w="6908" w:type="dxa"/>
          </w:tcPr>
          <w:p w14:paraId="4AF32CFA" w14:textId="77777777" w:rsidR="00F95910" w:rsidRDefault="00000000">
            <w:r>
              <w:t>Przycisk ⚙️ Ustawienia obok flag języka na każdej stronie - skrót do ustawień dla administratora, od razu po zalogowaniu.</w:t>
            </w:r>
          </w:p>
        </w:tc>
      </w:tr>
    </w:tbl>
    <w:p w14:paraId="01C06330" w14:textId="77777777" w:rsidR="00BA4AAF" w:rsidRDefault="00250F91">
      <w:pPr>
        <w:spacing w:before="320" w:after="120"/>
      </w:pPr>
      <w:r>
        <w:rPr>
          <w:b/>
          <w:color w:val="1F2A44"/>
          <w:sz w:val="26"/>
        </w:rPr>
        <w:t>Znane problemy / prace w toku</w:t>
      </w:r>
    </w:p>
    <w:p w14:paraId="4CA9DE3C" w14:textId="77777777" w:rsidR="00350740" w:rsidRPr="00C2208F" w:rsidRDefault="006F108A">
      <w:pPr>
        <w:pStyle w:val="Listapunktowana"/>
      </w:pPr>
      <w:r>
        <w:lastRenderedPageBreak/>
        <w:t>Import ofert z pliku Excel (format KTS/GPAO) - przeanalizowany, budowa świadomie odłożona na później</w:t>
      </w:r>
    </w:p>
    <w:p w14:paraId="19663166" w14:textId="77777777" w:rsidR="00350740" w:rsidRPr="00C2208F" w:rsidRDefault="006F108A">
      <w:pPr>
        <w:pStyle w:val="Listapunktowana"/>
      </w:pPr>
      <w:r>
        <w:t>Hasła kont testowych o długości 4 znaków (celowo obniżone na czas testów) - docelowo wymaga blokady prób logowania zamiast podnoszenia wymogu długości</w:t>
      </w:r>
    </w:p>
    <w:p w14:paraId="0081D646" w14:textId="77777777" w:rsidR="00350740" w:rsidRPr="00C2208F" w:rsidRDefault="006F108A">
      <w:pPr>
        <w:pStyle w:val="Listapunktowana"/>
      </w:pPr>
      <w:r>
        <w:t>Uśpiony Prisma/NextAuth oraz zdublowane pliki danych kalkulatora (calc-data.ts / calculatorData.ts) do uporządkowania</w:t>
      </w:r>
    </w:p>
    <w:p w14:paraId="1005E219" w14:textId="77777777" w:rsidR="00350740" w:rsidRPr="00C2208F" w:rsidRDefault="006F108A">
      <w:pPr>
        <w:pStyle w:val="Listapunktowana"/>
      </w:pPr>
      <w:r>
        <w:t>Wysyłka oferty do klienta to na razie wyłącznie zmiana statusu na „wysłana” - rzeczywista dostawa e-mailem / PDF do klienta jeszcze niezaimplementowana (świadomie odłożona).</w:t>
      </w:r>
    </w:p>
    <w:p w14:paraId="1005E219" w14:textId="77777777" w:rsidR="00350740" w:rsidRPr="00C2208F" w:rsidRDefault="006F108A">
      <w:pPr>
        <w:pStyle w:val="Listapunktowana"/>
      </w:pPr>
      <w:r>
        <w:t>Wartość i marża oferty są nadal wyliczane w przeglądarce handlowca; serwer sprawdza kompletność i spójność kwot w pozycjach (cena i wartość muszą wynikać z PGL, dopłat, marży i tonażu), ale nie przelicza ich od nowa według aktualnych ustawień. Pełne przeliczenie cen po stronie serwera - do zrobienia.</w:t>
      </w:r>
    </w:p>
    <w:p w14:paraId="1005E219" w14:textId="77777777" w:rsidR="00350740" w:rsidRPr="00C2208F" w:rsidRDefault="006F108A">
      <w:pPr>
        <w:pStyle w:val="Listapunktowana"/>
      </w:pPr>
      <w:r>
        <w:t>Brak w aplikacji struktury oddziałów i regionów - kolumny „Oferty oddziału” i „Oferty regionu” w macierzy widoczności działają obecnie jak „Oferty zespołu”, a oferty do walidacji trafiają do wspólnej kolejki danego poziomu we flow (ustawienie w panelu Uprawnienia pozwala zamiast tego pokazać cały flow).</w:t>
      </w:r>
    </w:p>
    <w:p w14:paraId="1005E219" w14:textId="77777777" w:rsidR="00350740" w:rsidRPr="00C2208F" w:rsidRDefault="006F108A">
      <w:pPr>
        <w:pStyle w:val="Listapunktowana"/>
      </w:pPr>
      <w:r>
        <w:t>Struktura oddziałów i regionów (kto zatwierdza ofertę konkretnego handlowca, zakres widoczności oddziału / regionu) czeka na Excel od biznesu. Pozostałe pytania do formularza uprawnień zostały rozstrzygnięte i wdrożone („Historia wersji oraz md/questions_for_lukasz.md”).</w:t>
      </w:r>
    </w:p>
    <w:p w14:paraId="1005E219" w14:textId="77777777" w:rsidR="00350740" w:rsidRPr="00C2208F" w:rsidRDefault="006F108A">
      <w:pPr>
        <w:pStyle w:val="Listapunktowana"/>
      </w:pPr>
      <w:r>
        <w:t>Ocena reguł uruchamia kilka zapytań równolegle na jednym połączeniu z bazą w transakcji - działa poprawnie, ale sterownik pg zgłasza ostrzeżenie o wycofaniu; do przebudowy przed aktualizacją sterownika do wersji 9</w:t>
      </w:r>
    </w:p>
    <w:p w14:paraId="2BBF8DAD" w14:textId="77777777" w:rsidR="00BA4AAF" w:rsidRDefault="00250F91">
      <w:pPr>
        <w:spacing w:before="200" w:after="120"/>
      </w:pPr>
      <w:r>
        <w:rPr>
          <w:b/>
          <w:color w:val="1F2A44"/>
          <w:sz w:val="26"/>
        </w:rPr>
        <w:t>Plany na kolejny tydzień</w:t>
      </w:r>
    </w:p>
    <w:p w14:paraId="6EAAE336" w14:textId="77777777" w:rsidR="00A14329" w:rsidRDefault="00250F91">
      <w:pPr>
        <w:pStyle w:val="Listapunktowana"/>
      </w:pPr>
      <w:r>
        <w:t>Testy ręczne end-to-end wszystkich trzech ról i pełnego obiegu oferty na środowisku produkcyjnym (po wdrożeniu wersji 1.9)</w:t>
      </w:r>
    </w:p>
    <w:p w14:paraId="4CBF8212" w14:textId="77777777" w:rsidR="00A14329" w:rsidRDefault="00250F91">
      <w:pPr>
        <w:pStyle w:val="Listapunktowana"/>
      </w:pPr>
      <w:r>
        <w:t>Ręczne testy panelu Analiza i osi „decyzja klienta” (wygrana / przegrana) na środowisku produkcyjnym: zakres danych per rola, poprawność KPI i wykresów, zapis i cofnięcie decyzji na ofercie wysłanej.</w:t>
      </w:r>
    </w:p>
    <w:p w14:paraId="69EDB93A" w14:textId="77777777" w:rsidR="00A14329" w:rsidRDefault="00250F91">
      <w:pPr>
        <w:pStyle w:val="Listapunktowana"/>
      </w:pPr>
      <w:r>
        <w:t>Ręczne testy sekcji „Trasa i transport” na środowisku produkcyjnym: adresy z kartoteki klienta, przekroczenie ładowności (dwa kursy), elementy ponadwymiarowe, tryb ręczny oraz zachowanie przy niedostępnym serwisie map.</w:t>
      </w:r>
    </w:p>
    <w:p w14:paraId="69EDB93A" w14:textId="77777777" w:rsidR="00A14329" w:rsidRDefault="00250F91">
      <w:pPr>
        <w:pStyle w:val="Listapunktowana"/>
      </w:pPr>
      <w:r>
        <w:t>Uzupełnienie przez biznes progów oznaczonych „do uzupełnienia” (marża N+3, obniżenie bazy N+2 / N+3, ważność N+3) w panelu Uprawnienia oraz testy end-to-end nowego obiegu walidacji po wdrożeniu na produkcję.</w:t>
      </w:r>
    </w:p>
    <w:p w14:paraId="69EDB93A" w14:textId="77777777" w:rsidR="00A14329" w:rsidRDefault="00250F91">
      <w:pPr>
        <w:pStyle w:val="Listapunktowana"/>
      </w:pPr>
      <w:r>
        <w:t>Po otrzymaniu Excela z oddziałami i regionami: zbudowanie struktury organizacyjnej w aplikacji i kierowanie ofert do właściwego kierownika zamiast wspólnej kolejki.</w:t>
      </w:r>
    </w:p>
    <w:p w14:paraId="2CDB85C1" w14:textId="643D0176" w:rsidR="00BA4AAF" w:rsidRDefault="00BA4AAF" w:rsidP="00150A8E">
      <w:pPr>
        <w:pStyle w:val="Listapunktowana"/>
        <w:numPr>
          <w:ilvl w:val="0"/>
          <w:numId w:val="0"/>
        </w:numPr>
        <w:pBdr>
          <w:bottom w:val="single" w:sz="12" w:space="4" w:color="2B57A6"/>
        </w:pBdr>
        <w:spacing w:before="400"/>
        <w:ind w:left="360"/>
      </w:pPr>
    </w:p>
    <w:tbl>
      <w:tblPr>
        <w:tblW w:w="0" w:type="auto"/>
        <w:tblLook w:val="04A0" w:firstRow="1" w:lastRow="0" w:firstColumn="1" w:lastColumn="0" w:noHBand="0" w:noVBand="1"/>
      </w:tblPr>
      <w:tblGrid>
        <w:gridCol w:w="4320"/>
        <w:gridCol w:w="4320"/>
      </w:tblGrid>
      <w:tr w:rsidR="00BA4AAF" w14:paraId="1A9C011A" w14:textId="77777777">
        <w:tc>
          <w:tcPr>
            <w:tcW w:w="4320" w:type="dxa"/>
          </w:tcPr>
          <w:p w14:paraId="7CA70FC1" w14:textId="77777777" w:rsidR="00BA4AAF" w:rsidRDefault="00250F91">
            <w:r>
              <w:rPr>
                <w:color w:val="1F2A44"/>
              </w:rPr>
              <w:t>Sporządził:  Mateusz Mazur</w:t>
            </w:r>
          </w:p>
        </w:tc>
        <w:tc>
          <w:tcPr>
            <w:tcW w:w="4320" w:type="dxa"/>
          </w:tcPr>
          <w:p w14:paraId="30146CBB" w14:textId="77777777" w:rsidR="00BA4AAF" w:rsidRDefault="00250F91">
            <w:pPr>
              <w:jc w:val="right"/>
            </w:pPr>
            <w:r>
              <w:rPr>
                <w:color w:val="666666"/>
              </w:rPr>
              <w:t>Zatwierdził:  ______________________</w:t>
            </w:r>
          </w:p>
        </w:tc>
      </w:tr>
    </w:tbl>
    <w:p w14:paraId="6DE2FAA4" w14:textId="77777777" w:rsidR="00F369F9" w:rsidRDefault="00F369F9"/>
    <w:sectPr w:rsidR="00F369F9" w:rsidSect="00034616">
      <w:headerReference w:type="default" r:id="rId8"/>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37FD7F" w14:textId="77777777" w:rsidR="00455D23" w:rsidRDefault="00455D23">
      <w:pPr>
        <w:spacing w:after="0" w:line="240" w:lineRule="auto"/>
      </w:pPr>
      <w:r>
        <w:separator/>
      </w:r>
    </w:p>
  </w:endnote>
  <w:endnote w:type="continuationSeparator" w:id="0">
    <w:p w14:paraId="3B4E1423" w14:textId="77777777" w:rsidR="00455D23" w:rsidRDefault="00455D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EE"/>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A9342" w14:textId="77777777" w:rsidR="00BA4AAF" w:rsidRDefault="00250F91">
    <w:pPr>
      <w:pStyle w:val="Stopka"/>
      <w:jc w:val="center"/>
    </w:pPr>
    <w:r>
      <w:rPr>
        <w:color w:val="666666"/>
        <w:sz w:val="16"/>
      </w:rPr>
      <w:t xml:space="preserve">AMSteel Quote - Raport wersji  |  Mateusz Mazur  |  Strona </w:t>
    </w:r>
    <w:r>
      <w:fldChar w:fldCharType="begin"/>
    </w:r>
    <w:r>
      <w:instrText>PAGE</w:instrText>
    </w:r>
    <w:r>
      <w:fldChar w:fldCharType="separate"/>
    </w:r>
    <w:r>
      <w:rPr>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819DD2" w14:textId="77777777" w:rsidR="00455D23" w:rsidRDefault="00455D23">
      <w:pPr>
        <w:spacing w:after="0" w:line="240" w:lineRule="auto"/>
      </w:pPr>
      <w:r>
        <w:separator/>
      </w:r>
    </w:p>
  </w:footnote>
  <w:footnote w:type="continuationSeparator" w:id="0">
    <w:p w14:paraId="4E078705" w14:textId="77777777" w:rsidR="00455D23" w:rsidRDefault="00455D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8F9D1" w14:textId="77777777" w:rsidR="00F6747C" w:rsidRDefault="00F6747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numerowan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numerowan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punktowana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punktowana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numerowan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punktowana"/>
      <w:lvlText w:val=""/>
      <w:lvlJc w:val="left"/>
      <w:pPr>
        <w:tabs>
          <w:tab w:val="num" w:pos="360"/>
        </w:tabs>
        <w:ind w:left="360" w:hanging="360"/>
      </w:pPr>
      <w:rPr>
        <w:rFonts w:ascii="Symbol" w:hAnsi="Symbol" w:hint="default"/>
      </w:rPr>
    </w:lvl>
  </w:abstractNum>
  <w:num w:numId="1" w16cid:durableId="1963726667">
    <w:abstractNumId w:val="8"/>
  </w:num>
  <w:num w:numId="2" w16cid:durableId="420226761">
    <w:abstractNumId w:val="6"/>
  </w:num>
  <w:num w:numId="3" w16cid:durableId="412974289">
    <w:abstractNumId w:val="5"/>
  </w:num>
  <w:num w:numId="4" w16cid:durableId="123693327">
    <w:abstractNumId w:val="4"/>
  </w:num>
  <w:num w:numId="5" w16cid:durableId="423494362">
    <w:abstractNumId w:val="7"/>
  </w:num>
  <w:num w:numId="6" w16cid:durableId="506290350">
    <w:abstractNumId w:val="3"/>
  </w:num>
  <w:num w:numId="7" w16cid:durableId="437288857">
    <w:abstractNumId w:val="2"/>
  </w:num>
  <w:num w:numId="8" w16cid:durableId="1665547889">
    <w:abstractNumId w:val="1"/>
  </w:num>
  <w:num w:numId="9" w16cid:durableId="11573026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D6E"/>
    <w:rsid w:val="00034616"/>
    <w:rsid w:val="0006063C"/>
    <w:rsid w:val="0009063D"/>
    <w:rsid w:val="000B0BCE"/>
    <w:rsid w:val="000B282E"/>
    <w:rsid w:val="000B5C5B"/>
    <w:rsid w:val="000B7752"/>
    <w:rsid w:val="000E149A"/>
    <w:rsid w:val="001307A8"/>
    <w:rsid w:val="00144CCC"/>
    <w:rsid w:val="0015074B"/>
    <w:rsid w:val="00150A8E"/>
    <w:rsid w:val="00157706"/>
    <w:rsid w:val="00170FC6"/>
    <w:rsid w:val="00183135"/>
    <w:rsid w:val="00250F91"/>
    <w:rsid w:val="0029639D"/>
    <w:rsid w:val="002A13CF"/>
    <w:rsid w:val="002A1D78"/>
    <w:rsid w:val="002B7A05"/>
    <w:rsid w:val="002D2E3D"/>
    <w:rsid w:val="002E60D7"/>
    <w:rsid w:val="002F24E4"/>
    <w:rsid w:val="002F2EA2"/>
    <w:rsid w:val="003033AA"/>
    <w:rsid w:val="00326F90"/>
    <w:rsid w:val="00350740"/>
    <w:rsid w:val="003626D2"/>
    <w:rsid w:val="00387EEC"/>
    <w:rsid w:val="00391B47"/>
    <w:rsid w:val="003A54B5"/>
    <w:rsid w:val="003B0858"/>
    <w:rsid w:val="003C010B"/>
    <w:rsid w:val="003D389F"/>
    <w:rsid w:val="00404AB3"/>
    <w:rsid w:val="00430A2A"/>
    <w:rsid w:val="00436807"/>
    <w:rsid w:val="00455D23"/>
    <w:rsid w:val="00492984"/>
    <w:rsid w:val="004C79D5"/>
    <w:rsid w:val="00505D3B"/>
    <w:rsid w:val="005171B4"/>
    <w:rsid w:val="00520812"/>
    <w:rsid w:val="005218DF"/>
    <w:rsid w:val="00536988"/>
    <w:rsid w:val="005436A7"/>
    <w:rsid w:val="00555311"/>
    <w:rsid w:val="0055789D"/>
    <w:rsid w:val="005859E7"/>
    <w:rsid w:val="005D7B4B"/>
    <w:rsid w:val="00617C6D"/>
    <w:rsid w:val="00653B09"/>
    <w:rsid w:val="00671ECD"/>
    <w:rsid w:val="006A262F"/>
    <w:rsid w:val="006F108A"/>
    <w:rsid w:val="0072348A"/>
    <w:rsid w:val="00744FF6"/>
    <w:rsid w:val="007451FD"/>
    <w:rsid w:val="00753524"/>
    <w:rsid w:val="007572B3"/>
    <w:rsid w:val="007845C9"/>
    <w:rsid w:val="007958E8"/>
    <w:rsid w:val="007A32A7"/>
    <w:rsid w:val="007D0EDE"/>
    <w:rsid w:val="007F2723"/>
    <w:rsid w:val="0080109B"/>
    <w:rsid w:val="008120C4"/>
    <w:rsid w:val="0085186F"/>
    <w:rsid w:val="008709B9"/>
    <w:rsid w:val="00892060"/>
    <w:rsid w:val="008C3B75"/>
    <w:rsid w:val="008C75CB"/>
    <w:rsid w:val="008D0D2A"/>
    <w:rsid w:val="008E56CA"/>
    <w:rsid w:val="00997DE9"/>
    <w:rsid w:val="009E27C7"/>
    <w:rsid w:val="009F095F"/>
    <w:rsid w:val="009F31A2"/>
    <w:rsid w:val="009F6800"/>
    <w:rsid w:val="00A02183"/>
    <w:rsid w:val="00A05E03"/>
    <w:rsid w:val="00A14329"/>
    <w:rsid w:val="00A45E1B"/>
    <w:rsid w:val="00A535C4"/>
    <w:rsid w:val="00AA1D8D"/>
    <w:rsid w:val="00AE13B0"/>
    <w:rsid w:val="00AF3020"/>
    <w:rsid w:val="00AF7590"/>
    <w:rsid w:val="00B0134B"/>
    <w:rsid w:val="00B07223"/>
    <w:rsid w:val="00B36AEF"/>
    <w:rsid w:val="00B47730"/>
    <w:rsid w:val="00B607B4"/>
    <w:rsid w:val="00B917C3"/>
    <w:rsid w:val="00BA4AAF"/>
    <w:rsid w:val="00BA6CF9"/>
    <w:rsid w:val="00BB0A80"/>
    <w:rsid w:val="00C05C5A"/>
    <w:rsid w:val="00C2208F"/>
    <w:rsid w:val="00C27768"/>
    <w:rsid w:val="00C302B7"/>
    <w:rsid w:val="00C62E5A"/>
    <w:rsid w:val="00CB0664"/>
    <w:rsid w:val="00D03A63"/>
    <w:rsid w:val="00D21B55"/>
    <w:rsid w:val="00D22FBE"/>
    <w:rsid w:val="00D2414B"/>
    <w:rsid w:val="00D7535D"/>
    <w:rsid w:val="00DC3098"/>
    <w:rsid w:val="00DF56CB"/>
    <w:rsid w:val="00DF74C1"/>
    <w:rsid w:val="00E3624A"/>
    <w:rsid w:val="00EE3BD0"/>
    <w:rsid w:val="00EF3709"/>
    <w:rsid w:val="00F05F0C"/>
    <w:rsid w:val="00F127D9"/>
    <w:rsid w:val="00F12DC9"/>
    <w:rsid w:val="00F24B1A"/>
    <w:rsid w:val="00F2758A"/>
    <w:rsid w:val="00F316DB"/>
    <w:rsid w:val="00F3442E"/>
    <w:rsid w:val="00F369F9"/>
    <w:rsid w:val="00F6747C"/>
    <w:rsid w:val="00F95910"/>
    <w:rsid w:val="00FB1793"/>
    <w:rsid w:val="00FC2BF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1388E0"/>
  <w14:defaultImageDpi w14:val="300"/>
  <w15:docId w15:val="{9DF3ADC0-0730-4F08-9D10-43AB28A1A4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FC693F"/>
    <w:rPr>
      <w:rFonts w:ascii="Calibri" w:hAnsi="Calibri"/>
    </w:rPr>
  </w:style>
  <w:style w:type="paragraph" w:styleId="Nagwek1">
    <w:name w:val="heading 1"/>
    <w:basedOn w:val="Normalny"/>
    <w:next w:val="Normalny"/>
    <w:link w:val="Nagwek1Znak"/>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gwek2">
    <w:name w:val="heading 2"/>
    <w:basedOn w:val="Normalny"/>
    <w:next w:val="Normalny"/>
    <w:link w:val="Nagwek2Znak"/>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gwek3">
    <w:name w:val="heading 3"/>
    <w:basedOn w:val="Normalny"/>
    <w:next w:val="Normalny"/>
    <w:link w:val="Nagwek3Znak"/>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gwek4">
    <w:name w:val="heading 4"/>
    <w:basedOn w:val="Normalny"/>
    <w:next w:val="Normalny"/>
    <w:link w:val="Nagwek4Znak"/>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gwek5">
    <w:name w:val="heading 5"/>
    <w:basedOn w:val="Normalny"/>
    <w:next w:val="Normalny"/>
    <w:link w:val="Nagwek5Znak"/>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gwek6">
    <w:name w:val="heading 6"/>
    <w:basedOn w:val="Normalny"/>
    <w:next w:val="Normalny"/>
    <w:link w:val="Nagwek6Znak"/>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gwek7">
    <w:name w:val="heading 7"/>
    <w:basedOn w:val="Normalny"/>
    <w:next w:val="Normalny"/>
    <w:link w:val="Nagwek7Znak"/>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gwek8">
    <w:name w:val="heading 8"/>
    <w:basedOn w:val="Normalny"/>
    <w:next w:val="Normalny"/>
    <w:link w:val="Nagwek8Znak"/>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gwek9">
    <w:name w:val="heading 9"/>
    <w:basedOn w:val="Normalny"/>
    <w:next w:val="Normalny"/>
    <w:link w:val="Nagwek9Znak"/>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Nagwek">
    <w:name w:val="header"/>
    <w:basedOn w:val="Normalny"/>
    <w:link w:val="NagwekZnak"/>
    <w:uiPriority w:val="99"/>
    <w:unhideWhenUsed/>
    <w:rsid w:val="00E618BF"/>
    <w:pPr>
      <w:tabs>
        <w:tab w:val="center" w:pos="4680"/>
        <w:tab w:val="right" w:pos="9360"/>
      </w:tabs>
      <w:spacing w:after="0" w:line="240" w:lineRule="auto"/>
    </w:pPr>
  </w:style>
  <w:style w:type="character" w:customStyle="1" w:styleId="NagwekZnak">
    <w:name w:val="Nagłówek Znak"/>
    <w:basedOn w:val="Domylnaczcionkaakapitu"/>
    <w:link w:val="Nagwek"/>
    <w:uiPriority w:val="99"/>
    <w:rsid w:val="00E618BF"/>
  </w:style>
  <w:style w:type="paragraph" w:styleId="Stopka">
    <w:name w:val="footer"/>
    <w:basedOn w:val="Normalny"/>
    <w:link w:val="StopkaZnak"/>
    <w:uiPriority w:val="99"/>
    <w:unhideWhenUsed/>
    <w:rsid w:val="00E618BF"/>
    <w:pPr>
      <w:tabs>
        <w:tab w:val="center" w:pos="4680"/>
        <w:tab w:val="right" w:pos="9360"/>
      </w:tabs>
      <w:spacing w:after="0" w:line="240" w:lineRule="auto"/>
    </w:pPr>
  </w:style>
  <w:style w:type="character" w:customStyle="1" w:styleId="StopkaZnak">
    <w:name w:val="Stopka Znak"/>
    <w:basedOn w:val="Domylnaczcionkaakapitu"/>
    <w:link w:val="Stopka"/>
    <w:uiPriority w:val="99"/>
    <w:rsid w:val="00E618BF"/>
  </w:style>
  <w:style w:type="paragraph" w:styleId="Bezodstpw">
    <w:name w:val="No Spacing"/>
    <w:uiPriority w:val="1"/>
    <w:qFormat/>
    <w:rsid w:val="00FC693F"/>
    <w:pPr>
      <w:spacing w:after="0" w:line="240" w:lineRule="auto"/>
    </w:pPr>
  </w:style>
  <w:style w:type="character" w:customStyle="1" w:styleId="Nagwek1Znak">
    <w:name w:val="Nagłówek 1 Znak"/>
    <w:basedOn w:val="Domylnaczcionkaakapitu"/>
    <w:link w:val="Nagwe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gwek2Znak">
    <w:name w:val="Nagłówek 2 Znak"/>
    <w:basedOn w:val="Domylnaczcionkaakapitu"/>
    <w:link w:val="Nagwek2"/>
    <w:uiPriority w:val="9"/>
    <w:rsid w:val="00FC693F"/>
    <w:rPr>
      <w:rFonts w:asciiTheme="majorHAnsi" w:eastAsiaTheme="majorEastAsia" w:hAnsiTheme="majorHAnsi" w:cstheme="majorBidi"/>
      <w:b/>
      <w:bCs/>
      <w:color w:val="4F81BD" w:themeColor="accent1"/>
      <w:sz w:val="26"/>
      <w:szCs w:val="26"/>
    </w:rPr>
  </w:style>
  <w:style w:type="character" w:customStyle="1" w:styleId="Nagwek3Znak">
    <w:name w:val="Nagłówek 3 Znak"/>
    <w:basedOn w:val="Domylnaczcionkaakapitu"/>
    <w:link w:val="Nagwek3"/>
    <w:uiPriority w:val="9"/>
    <w:rsid w:val="00FC693F"/>
    <w:rPr>
      <w:rFonts w:asciiTheme="majorHAnsi" w:eastAsiaTheme="majorEastAsia" w:hAnsiTheme="majorHAnsi" w:cstheme="majorBidi"/>
      <w:b/>
      <w:bCs/>
      <w:color w:val="4F81BD" w:themeColor="accent1"/>
    </w:rPr>
  </w:style>
  <w:style w:type="paragraph" w:styleId="Tytu">
    <w:name w:val="Title"/>
    <w:basedOn w:val="Normalny"/>
    <w:next w:val="Normalny"/>
    <w:link w:val="TytuZnak"/>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ytuZnak">
    <w:name w:val="Tytuł Znak"/>
    <w:basedOn w:val="Domylnaczcionkaakapitu"/>
    <w:link w:val="Tyt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ytu">
    <w:name w:val="Subtitle"/>
    <w:basedOn w:val="Normalny"/>
    <w:next w:val="Normalny"/>
    <w:link w:val="PodtytuZnak"/>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ytuZnak">
    <w:name w:val="Podtytuł Znak"/>
    <w:basedOn w:val="Domylnaczcionkaakapitu"/>
    <w:link w:val="Podtytu"/>
    <w:uiPriority w:val="11"/>
    <w:rsid w:val="00FC693F"/>
    <w:rPr>
      <w:rFonts w:asciiTheme="majorHAnsi" w:eastAsiaTheme="majorEastAsia" w:hAnsiTheme="majorHAnsi" w:cstheme="majorBidi"/>
      <w:i/>
      <w:iCs/>
      <w:color w:val="4F81BD" w:themeColor="accent1"/>
      <w:spacing w:val="15"/>
      <w:sz w:val="24"/>
      <w:szCs w:val="24"/>
    </w:rPr>
  </w:style>
  <w:style w:type="paragraph" w:styleId="Akapitzlist">
    <w:name w:val="List Paragraph"/>
    <w:basedOn w:val="Normalny"/>
    <w:uiPriority w:val="34"/>
    <w:qFormat/>
    <w:rsid w:val="00FC693F"/>
    <w:pPr>
      <w:ind w:left="720"/>
      <w:contextualSpacing/>
    </w:pPr>
  </w:style>
  <w:style w:type="paragraph" w:styleId="Tekstpodstawowy">
    <w:name w:val="Body Text"/>
    <w:basedOn w:val="Normalny"/>
    <w:link w:val="TekstpodstawowyZnak"/>
    <w:uiPriority w:val="99"/>
    <w:unhideWhenUsed/>
    <w:rsid w:val="00AA1D8D"/>
    <w:pPr>
      <w:spacing w:after="120"/>
    </w:pPr>
  </w:style>
  <w:style w:type="character" w:customStyle="1" w:styleId="TekstpodstawowyZnak">
    <w:name w:val="Tekst podstawowy Znak"/>
    <w:basedOn w:val="Domylnaczcionkaakapitu"/>
    <w:link w:val="Tekstpodstawowy"/>
    <w:uiPriority w:val="99"/>
    <w:rsid w:val="00AA1D8D"/>
  </w:style>
  <w:style w:type="paragraph" w:styleId="Tekstpodstawowy2">
    <w:name w:val="Body Text 2"/>
    <w:basedOn w:val="Normalny"/>
    <w:link w:val="Tekstpodstawowy2Znak"/>
    <w:uiPriority w:val="99"/>
    <w:unhideWhenUsed/>
    <w:rsid w:val="00AA1D8D"/>
    <w:pPr>
      <w:spacing w:after="120" w:line="480" w:lineRule="auto"/>
    </w:pPr>
  </w:style>
  <w:style w:type="character" w:customStyle="1" w:styleId="Tekstpodstawowy2Znak">
    <w:name w:val="Tekst podstawowy 2 Znak"/>
    <w:basedOn w:val="Domylnaczcionkaakapitu"/>
    <w:link w:val="Tekstpodstawowy2"/>
    <w:uiPriority w:val="99"/>
    <w:rsid w:val="00AA1D8D"/>
  </w:style>
  <w:style w:type="paragraph" w:styleId="Tekstpodstawowy3">
    <w:name w:val="Body Text 3"/>
    <w:basedOn w:val="Normalny"/>
    <w:link w:val="Tekstpodstawowy3Znak"/>
    <w:uiPriority w:val="99"/>
    <w:unhideWhenUsed/>
    <w:rsid w:val="00AA1D8D"/>
    <w:pPr>
      <w:spacing w:after="120"/>
    </w:pPr>
    <w:rPr>
      <w:sz w:val="16"/>
      <w:szCs w:val="16"/>
    </w:rPr>
  </w:style>
  <w:style w:type="character" w:customStyle="1" w:styleId="Tekstpodstawowy3Znak">
    <w:name w:val="Tekst podstawowy 3 Znak"/>
    <w:basedOn w:val="Domylnaczcionkaakapitu"/>
    <w:link w:val="Tekstpodstawowy3"/>
    <w:uiPriority w:val="99"/>
    <w:rsid w:val="00AA1D8D"/>
    <w:rPr>
      <w:sz w:val="16"/>
      <w:szCs w:val="16"/>
    </w:rPr>
  </w:style>
  <w:style w:type="paragraph" w:styleId="Lista">
    <w:name w:val="List"/>
    <w:basedOn w:val="Normalny"/>
    <w:uiPriority w:val="99"/>
    <w:unhideWhenUsed/>
    <w:rsid w:val="00AA1D8D"/>
    <w:pPr>
      <w:ind w:left="360" w:hanging="360"/>
      <w:contextualSpacing/>
    </w:pPr>
  </w:style>
  <w:style w:type="paragraph" w:styleId="Lista2">
    <w:name w:val="List 2"/>
    <w:basedOn w:val="Normalny"/>
    <w:uiPriority w:val="99"/>
    <w:unhideWhenUsed/>
    <w:rsid w:val="00326F90"/>
    <w:pPr>
      <w:ind w:left="720" w:hanging="360"/>
      <w:contextualSpacing/>
    </w:pPr>
  </w:style>
  <w:style w:type="paragraph" w:styleId="Lista3">
    <w:name w:val="List 3"/>
    <w:basedOn w:val="Normalny"/>
    <w:uiPriority w:val="99"/>
    <w:unhideWhenUsed/>
    <w:rsid w:val="00326F90"/>
    <w:pPr>
      <w:ind w:left="1080" w:hanging="360"/>
      <w:contextualSpacing/>
    </w:pPr>
  </w:style>
  <w:style w:type="paragraph" w:styleId="Listapunktowana">
    <w:name w:val="List Bullet"/>
    <w:basedOn w:val="Normalny"/>
    <w:uiPriority w:val="99"/>
    <w:unhideWhenUsed/>
    <w:rsid w:val="00326F90"/>
    <w:pPr>
      <w:numPr>
        <w:numId w:val="1"/>
      </w:numPr>
      <w:contextualSpacing/>
    </w:pPr>
  </w:style>
  <w:style w:type="paragraph" w:styleId="Listapunktowana2">
    <w:name w:val="List Bullet 2"/>
    <w:basedOn w:val="Normalny"/>
    <w:uiPriority w:val="99"/>
    <w:unhideWhenUsed/>
    <w:rsid w:val="00326F90"/>
    <w:pPr>
      <w:numPr>
        <w:numId w:val="2"/>
      </w:numPr>
      <w:contextualSpacing/>
    </w:pPr>
  </w:style>
  <w:style w:type="paragraph" w:styleId="Listapunktowana3">
    <w:name w:val="List Bullet 3"/>
    <w:basedOn w:val="Normalny"/>
    <w:uiPriority w:val="99"/>
    <w:unhideWhenUsed/>
    <w:rsid w:val="00326F90"/>
    <w:pPr>
      <w:numPr>
        <w:numId w:val="3"/>
      </w:numPr>
      <w:contextualSpacing/>
    </w:pPr>
  </w:style>
  <w:style w:type="paragraph" w:styleId="Listanumerowana">
    <w:name w:val="List Number"/>
    <w:basedOn w:val="Normalny"/>
    <w:uiPriority w:val="99"/>
    <w:unhideWhenUsed/>
    <w:rsid w:val="00326F90"/>
    <w:pPr>
      <w:numPr>
        <w:numId w:val="5"/>
      </w:numPr>
      <w:contextualSpacing/>
    </w:pPr>
  </w:style>
  <w:style w:type="paragraph" w:styleId="Listanumerowana2">
    <w:name w:val="List Number 2"/>
    <w:basedOn w:val="Normalny"/>
    <w:uiPriority w:val="99"/>
    <w:unhideWhenUsed/>
    <w:rsid w:val="0029639D"/>
    <w:pPr>
      <w:numPr>
        <w:numId w:val="6"/>
      </w:numPr>
      <w:contextualSpacing/>
    </w:pPr>
  </w:style>
  <w:style w:type="paragraph" w:styleId="Listanumerowana3">
    <w:name w:val="List Number 3"/>
    <w:basedOn w:val="Normalny"/>
    <w:uiPriority w:val="99"/>
    <w:unhideWhenUsed/>
    <w:rsid w:val="0029639D"/>
    <w:pPr>
      <w:numPr>
        <w:numId w:val="7"/>
      </w:numPr>
      <w:contextualSpacing/>
    </w:pPr>
  </w:style>
  <w:style w:type="paragraph" w:styleId="Lista-kontynuacja">
    <w:name w:val="List Continue"/>
    <w:basedOn w:val="Normalny"/>
    <w:uiPriority w:val="99"/>
    <w:unhideWhenUsed/>
    <w:rsid w:val="0029639D"/>
    <w:pPr>
      <w:spacing w:after="120"/>
      <w:ind w:left="360"/>
      <w:contextualSpacing/>
    </w:pPr>
  </w:style>
  <w:style w:type="paragraph" w:styleId="Lista-kontynuacja2">
    <w:name w:val="List Continue 2"/>
    <w:basedOn w:val="Normalny"/>
    <w:uiPriority w:val="99"/>
    <w:unhideWhenUsed/>
    <w:rsid w:val="0029639D"/>
    <w:pPr>
      <w:spacing w:after="120"/>
      <w:ind w:left="720"/>
      <w:contextualSpacing/>
    </w:pPr>
  </w:style>
  <w:style w:type="paragraph" w:styleId="Lista-kontynuacja3">
    <w:name w:val="List Continue 3"/>
    <w:basedOn w:val="Normalny"/>
    <w:uiPriority w:val="99"/>
    <w:unhideWhenUsed/>
    <w:rsid w:val="0029639D"/>
    <w:pPr>
      <w:spacing w:after="120"/>
      <w:ind w:left="1080"/>
      <w:contextualSpacing/>
    </w:pPr>
  </w:style>
  <w:style w:type="paragraph" w:styleId="Tekstmakra">
    <w:name w:val="macro"/>
    <w:link w:val="TekstmakraZnak"/>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kstmakraZnak">
    <w:name w:val="Tekst makra Znak"/>
    <w:basedOn w:val="Domylnaczcionkaakapitu"/>
    <w:link w:val="Tekstmakra"/>
    <w:uiPriority w:val="99"/>
    <w:rsid w:val="0029639D"/>
    <w:rPr>
      <w:rFonts w:ascii="Courier" w:hAnsi="Courier"/>
      <w:sz w:val="20"/>
      <w:szCs w:val="20"/>
    </w:rPr>
  </w:style>
  <w:style w:type="paragraph" w:styleId="Cytat">
    <w:name w:val="Quote"/>
    <w:basedOn w:val="Normalny"/>
    <w:next w:val="Normalny"/>
    <w:link w:val="CytatZnak"/>
    <w:uiPriority w:val="29"/>
    <w:qFormat/>
    <w:rsid w:val="00FC693F"/>
    <w:rPr>
      <w:i/>
      <w:iCs/>
      <w:color w:val="000000" w:themeColor="text1"/>
    </w:rPr>
  </w:style>
  <w:style w:type="character" w:customStyle="1" w:styleId="CytatZnak">
    <w:name w:val="Cytat Znak"/>
    <w:basedOn w:val="Domylnaczcionkaakapitu"/>
    <w:link w:val="Cytat"/>
    <w:uiPriority w:val="29"/>
    <w:rsid w:val="00FC693F"/>
    <w:rPr>
      <w:i/>
      <w:iCs/>
      <w:color w:val="000000" w:themeColor="text1"/>
    </w:rPr>
  </w:style>
  <w:style w:type="character" w:customStyle="1" w:styleId="Nagwek4Znak">
    <w:name w:val="Nagłówek 4 Znak"/>
    <w:basedOn w:val="Domylnaczcionkaakapitu"/>
    <w:link w:val="Nagwek4"/>
    <w:uiPriority w:val="9"/>
    <w:semiHidden/>
    <w:rsid w:val="00FC693F"/>
    <w:rPr>
      <w:rFonts w:asciiTheme="majorHAnsi" w:eastAsiaTheme="majorEastAsia" w:hAnsiTheme="majorHAnsi" w:cstheme="majorBidi"/>
      <w:b/>
      <w:bCs/>
      <w:i/>
      <w:iCs/>
      <w:color w:val="4F81BD" w:themeColor="accent1"/>
    </w:rPr>
  </w:style>
  <w:style w:type="character" w:customStyle="1" w:styleId="Nagwek5Znak">
    <w:name w:val="Nagłówek 5 Znak"/>
    <w:basedOn w:val="Domylnaczcionkaakapitu"/>
    <w:link w:val="Nagwek5"/>
    <w:uiPriority w:val="9"/>
    <w:semiHidden/>
    <w:rsid w:val="00FC693F"/>
    <w:rPr>
      <w:rFonts w:asciiTheme="majorHAnsi" w:eastAsiaTheme="majorEastAsia" w:hAnsiTheme="majorHAnsi" w:cstheme="majorBidi"/>
      <w:color w:val="243F60" w:themeColor="accent1" w:themeShade="7F"/>
    </w:rPr>
  </w:style>
  <w:style w:type="character" w:customStyle="1" w:styleId="Nagwek6Znak">
    <w:name w:val="Nagłówek 6 Znak"/>
    <w:basedOn w:val="Domylnaczcionkaakapitu"/>
    <w:link w:val="Nagwek6"/>
    <w:uiPriority w:val="9"/>
    <w:semiHidden/>
    <w:rsid w:val="00FC693F"/>
    <w:rPr>
      <w:rFonts w:asciiTheme="majorHAnsi" w:eastAsiaTheme="majorEastAsia" w:hAnsiTheme="majorHAnsi" w:cstheme="majorBidi"/>
      <w:i/>
      <w:iCs/>
      <w:color w:val="243F60" w:themeColor="accent1" w:themeShade="7F"/>
    </w:rPr>
  </w:style>
  <w:style w:type="character" w:customStyle="1" w:styleId="Nagwek7Znak">
    <w:name w:val="Nagłówek 7 Znak"/>
    <w:basedOn w:val="Domylnaczcionkaakapitu"/>
    <w:link w:val="Nagwek7"/>
    <w:uiPriority w:val="9"/>
    <w:semiHidden/>
    <w:rsid w:val="00FC693F"/>
    <w:rPr>
      <w:rFonts w:asciiTheme="majorHAnsi" w:eastAsiaTheme="majorEastAsia" w:hAnsiTheme="majorHAnsi" w:cstheme="majorBidi"/>
      <w:i/>
      <w:iCs/>
      <w:color w:val="404040" w:themeColor="text1" w:themeTint="BF"/>
    </w:rPr>
  </w:style>
  <w:style w:type="character" w:customStyle="1" w:styleId="Nagwek8Znak">
    <w:name w:val="Nagłówek 8 Znak"/>
    <w:basedOn w:val="Domylnaczcionkaakapitu"/>
    <w:link w:val="Nagwek8"/>
    <w:uiPriority w:val="9"/>
    <w:semiHidden/>
    <w:rsid w:val="00FC693F"/>
    <w:rPr>
      <w:rFonts w:asciiTheme="majorHAnsi" w:eastAsiaTheme="majorEastAsia" w:hAnsiTheme="majorHAnsi" w:cstheme="majorBidi"/>
      <w:color w:val="4F81BD" w:themeColor="accent1"/>
      <w:sz w:val="20"/>
      <w:szCs w:val="20"/>
    </w:rPr>
  </w:style>
  <w:style w:type="character" w:customStyle="1" w:styleId="Nagwek9Znak">
    <w:name w:val="Nagłówek 9 Znak"/>
    <w:basedOn w:val="Domylnaczcionkaakapitu"/>
    <w:link w:val="Nagwek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ny"/>
    <w:next w:val="Normalny"/>
    <w:uiPriority w:val="35"/>
    <w:semiHidden/>
    <w:unhideWhenUsed/>
    <w:qFormat/>
    <w:rsid w:val="00FC693F"/>
    <w:pPr>
      <w:spacing w:line="240" w:lineRule="auto"/>
    </w:pPr>
    <w:rPr>
      <w:b/>
      <w:bCs/>
      <w:color w:val="4F81BD" w:themeColor="accent1"/>
      <w:sz w:val="18"/>
      <w:szCs w:val="18"/>
    </w:rPr>
  </w:style>
  <w:style w:type="character" w:styleId="Pogrubienie">
    <w:name w:val="Strong"/>
    <w:basedOn w:val="Domylnaczcionkaakapitu"/>
    <w:uiPriority w:val="22"/>
    <w:qFormat/>
    <w:rsid w:val="00FC693F"/>
    <w:rPr>
      <w:b/>
      <w:bCs/>
    </w:rPr>
  </w:style>
  <w:style w:type="character" w:styleId="Uwydatnienie">
    <w:name w:val="Emphasis"/>
    <w:basedOn w:val="Domylnaczcionkaakapitu"/>
    <w:uiPriority w:val="20"/>
    <w:qFormat/>
    <w:rsid w:val="00FC693F"/>
    <w:rPr>
      <w:i/>
      <w:iCs/>
    </w:rPr>
  </w:style>
  <w:style w:type="paragraph" w:styleId="Cytatintensywny">
    <w:name w:val="Intense Quote"/>
    <w:basedOn w:val="Normalny"/>
    <w:next w:val="Normalny"/>
    <w:link w:val="CytatintensywnyZnak"/>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ytatintensywnyZnak">
    <w:name w:val="Cytat intensywny Znak"/>
    <w:basedOn w:val="Domylnaczcionkaakapitu"/>
    <w:link w:val="Cytatintensywny"/>
    <w:uiPriority w:val="30"/>
    <w:rsid w:val="00FC693F"/>
    <w:rPr>
      <w:b/>
      <w:bCs/>
      <w:i/>
      <w:iCs/>
      <w:color w:val="4F81BD" w:themeColor="accent1"/>
    </w:rPr>
  </w:style>
  <w:style w:type="character" w:styleId="Wyrnieniedelikatne">
    <w:name w:val="Subtle Emphasis"/>
    <w:basedOn w:val="Domylnaczcionkaakapitu"/>
    <w:uiPriority w:val="19"/>
    <w:qFormat/>
    <w:rsid w:val="00FC693F"/>
    <w:rPr>
      <w:i/>
      <w:iCs/>
      <w:color w:val="808080" w:themeColor="text1" w:themeTint="7F"/>
    </w:rPr>
  </w:style>
  <w:style w:type="character" w:styleId="Wyrnienieintensywne">
    <w:name w:val="Intense Emphasis"/>
    <w:basedOn w:val="Domylnaczcionkaakapitu"/>
    <w:uiPriority w:val="21"/>
    <w:qFormat/>
    <w:rsid w:val="00FC693F"/>
    <w:rPr>
      <w:b/>
      <w:bCs/>
      <w:i/>
      <w:iCs/>
      <w:color w:val="4F81BD" w:themeColor="accent1"/>
    </w:rPr>
  </w:style>
  <w:style w:type="character" w:styleId="Odwoaniedelikatne">
    <w:name w:val="Subtle Reference"/>
    <w:basedOn w:val="Domylnaczcionkaakapitu"/>
    <w:uiPriority w:val="31"/>
    <w:qFormat/>
    <w:rsid w:val="00FC693F"/>
    <w:rPr>
      <w:smallCaps/>
      <w:color w:val="C0504D" w:themeColor="accent2"/>
      <w:u w:val="single"/>
    </w:rPr>
  </w:style>
  <w:style w:type="character" w:styleId="Odwoanieintensywne">
    <w:name w:val="Intense Reference"/>
    <w:basedOn w:val="Domylnaczcionkaakapitu"/>
    <w:uiPriority w:val="32"/>
    <w:qFormat/>
    <w:rsid w:val="00FC693F"/>
    <w:rPr>
      <w:b/>
      <w:bCs/>
      <w:smallCaps/>
      <w:color w:val="C0504D" w:themeColor="accent2"/>
      <w:spacing w:val="5"/>
      <w:u w:val="single"/>
    </w:rPr>
  </w:style>
  <w:style w:type="character" w:styleId="Tytuksiki">
    <w:name w:val="Book Title"/>
    <w:basedOn w:val="Domylnaczcionkaakapitu"/>
    <w:uiPriority w:val="33"/>
    <w:qFormat/>
    <w:rsid w:val="00FC693F"/>
    <w:rPr>
      <w:b/>
      <w:bCs/>
      <w:smallCaps/>
      <w:spacing w:val="5"/>
    </w:rPr>
  </w:style>
  <w:style w:type="paragraph" w:styleId="Nagwekspisutreci">
    <w:name w:val="TOC Heading"/>
    <w:basedOn w:val="Nagwek1"/>
    <w:next w:val="Normalny"/>
    <w:uiPriority w:val="39"/>
    <w:semiHidden/>
    <w:unhideWhenUsed/>
    <w:qFormat/>
    <w:rsid w:val="00FC693F"/>
    <w:pPr>
      <w:outlineLvl w:val="9"/>
    </w:pPr>
  </w:style>
  <w:style w:type="table" w:styleId="Tabela-Siatka">
    <w:name w:val="Table Grid"/>
    <w:basedOn w:val="Standardowy"/>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Jasnecieniowanie">
    <w:name w:val="Light Shading"/>
    <w:basedOn w:val="Standardowy"/>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Jasnecieniowanieakcent1">
    <w:name w:val="Light Shading Accent 1"/>
    <w:basedOn w:val="Standardowy"/>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Jasnecieniowanieakcent2">
    <w:name w:val="Light Shading Accent 2"/>
    <w:basedOn w:val="Standardowy"/>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Jasnecieniowanieakcent3">
    <w:name w:val="Light Shading Accent 3"/>
    <w:basedOn w:val="Standardowy"/>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Jasnecieniowanieakcent4">
    <w:name w:val="Light Shading Accent 4"/>
    <w:basedOn w:val="Standardowy"/>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Jasnecieniowanieakcent5">
    <w:name w:val="Light Shading Accent 5"/>
    <w:basedOn w:val="Standardowy"/>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Jasnecieniowanieakcent6">
    <w:name w:val="Light Shading Accent 6"/>
    <w:basedOn w:val="Standardowy"/>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Jasnalista">
    <w:name w:val="Light List"/>
    <w:basedOn w:val="Standardowy"/>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Jasnalistaakcent1">
    <w:name w:val="Light List Accent 1"/>
    <w:basedOn w:val="Standardowy"/>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Jasnalistaakcent2">
    <w:name w:val="Light List Accent 2"/>
    <w:basedOn w:val="Standardowy"/>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Jasnalistaakcent3">
    <w:name w:val="Light List Accent 3"/>
    <w:basedOn w:val="Standardowy"/>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Jasnalistaakcent4">
    <w:name w:val="Light List Accent 4"/>
    <w:basedOn w:val="Standardowy"/>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Jasnalistaakcent5">
    <w:name w:val="Light List Accent 5"/>
    <w:basedOn w:val="Standardowy"/>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Jasnalistaakcent6">
    <w:name w:val="Light List Accent 6"/>
    <w:basedOn w:val="Standardowy"/>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Jasnasiatka">
    <w:name w:val="Light Grid"/>
    <w:basedOn w:val="Standardowy"/>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Jasnasiatkaakcent1">
    <w:name w:val="Light Grid Accent 1"/>
    <w:basedOn w:val="Standardowy"/>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Jasnasiatkaakcent2">
    <w:name w:val="Light Grid Accent 2"/>
    <w:basedOn w:val="Standardowy"/>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Jasnasiatkaakcent3">
    <w:name w:val="Light Grid Accent 3"/>
    <w:basedOn w:val="Standardowy"/>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Jasnasiatkaakcent4">
    <w:name w:val="Light Grid Accent 4"/>
    <w:basedOn w:val="Standardowy"/>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Jasnasiatkaakcent5">
    <w:name w:val="Light Grid Accent 5"/>
    <w:basedOn w:val="Standardowy"/>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Jasnasiatkaakcent6">
    <w:name w:val="Light Grid Accent 6"/>
    <w:basedOn w:val="Standardowy"/>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redniecieniowanie1">
    <w:name w:val="Medium Shading 1"/>
    <w:basedOn w:val="Standardowy"/>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redniecieniowanie1akcent1">
    <w:name w:val="Medium Shading 1 Accent 1"/>
    <w:basedOn w:val="Standardowy"/>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redniecieniowanie1akcent2">
    <w:name w:val="Medium Shading 1 Accent 2"/>
    <w:basedOn w:val="Standardowy"/>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redniecieniowanie1akcent3">
    <w:name w:val="Medium Shading 1 Accent 3"/>
    <w:basedOn w:val="Standardowy"/>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redniecieniowanie1akcent4">
    <w:name w:val="Medium Shading 1 Accent 4"/>
    <w:basedOn w:val="Standardowy"/>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redniecieniowanie1akcent5">
    <w:name w:val="Medium Shading 1 Accent 5"/>
    <w:basedOn w:val="Standardowy"/>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redniecieniowanie1akcent6">
    <w:name w:val="Medium Shading 1 Accent 6"/>
    <w:basedOn w:val="Standardowy"/>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redniecieniowanie2">
    <w:name w:val="Medium Shading 2"/>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1">
    <w:name w:val="Medium Shading 2 Accent 1"/>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2">
    <w:name w:val="Medium Shading 2 Accent 2"/>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3">
    <w:name w:val="Medium Shading 2 Accent 3"/>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4">
    <w:name w:val="Medium Shading 2 Accent 4"/>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5">
    <w:name w:val="Medium Shading 2 Accent 5"/>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6">
    <w:name w:val="Medium Shading 2 Accent 6"/>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alista1">
    <w:name w:val="Medium List 1"/>
    <w:basedOn w:val="Standardowy"/>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rednialista1akcent1">
    <w:name w:val="Medium List 1 Accent 1"/>
    <w:basedOn w:val="Standardowy"/>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rednialista1akcent2">
    <w:name w:val="Medium List 1 Accent 2"/>
    <w:basedOn w:val="Standardowy"/>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rednialista1akcent3">
    <w:name w:val="Medium List 1 Accent 3"/>
    <w:basedOn w:val="Standardowy"/>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rednialista1akcent4">
    <w:name w:val="Medium List 1 Accent 4"/>
    <w:basedOn w:val="Standardowy"/>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rednialista1akcent5">
    <w:name w:val="Medium List 1 Accent 5"/>
    <w:basedOn w:val="Standardowy"/>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rednialista1akcent6">
    <w:name w:val="Medium List 1 Accent 6"/>
    <w:basedOn w:val="Standardowy"/>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rednialista2">
    <w:name w:val="Medium List 2"/>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1">
    <w:name w:val="Medium List 2 Accent 1"/>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2">
    <w:name w:val="Medium List 2 Accent 2"/>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3">
    <w:name w:val="Medium List 2 Accent 3"/>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4">
    <w:name w:val="Medium List 2 Accent 4"/>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5">
    <w:name w:val="Medium List 2 Accent 5"/>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6">
    <w:name w:val="Medium List 2 Accent 6"/>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siatka1">
    <w:name w:val="Medium Grid 1"/>
    <w:basedOn w:val="Standardowy"/>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dniasiatka1akcent1">
    <w:name w:val="Medium Grid 1 Accent 1"/>
    <w:basedOn w:val="Standardowy"/>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dniasiatka1akcent2">
    <w:name w:val="Medium Grid 1 Accent 2"/>
    <w:basedOn w:val="Standardowy"/>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dniasiatka1akcent3">
    <w:name w:val="Medium Grid 1 Accent 3"/>
    <w:basedOn w:val="Standardowy"/>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dniasiatka1akcent4">
    <w:name w:val="Medium Grid 1 Accent 4"/>
    <w:basedOn w:val="Standardowy"/>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dniasiatka1akcent5">
    <w:name w:val="Medium Grid 1 Accent 5"/>
    <w:basedOn w:val="Standardowy"/>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dniasiatka1akcent6">
    <w:name w:val="Medium Grid 1 Accent 6"/>
    <w:basedOn w:val="Standardowy"/>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redniasiatka2">
    <w:name w:val="Medium Grid 2"/>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redniasiatka2akcent1">
    <w:name w:val="Medium Grid 2 Accent 1"/>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redniasiatka2akcent2">
    <w:name w:val="Medium Grid 2 Accent 2"/>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redniasiatka2akcent3">
    <w:name w:val="Medium Grid 2 Accent 3"/>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redniasiatka2akcent4">
    <w:name w:val="Medium Grid 2 Accent 4"/>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redniasiatka2akcent5">
    <w:name w:val="Medium Grid 2 Accent 5"/>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redniasiatka2akcent6">
    <w:name w:val="Medium Grid 2 Accent 6"/>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redniasiatka3">
    <w:name w:val="Medium Grid 3"/>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redniasiatka3akcent1">
    <w:name w:val="Medium Grid 3 Accent 1"/>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redniasiatka3akcent2">
    <w:name w:val="Medium Grid 3 Accent 2"/>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redniasiatka3akcent3">
    <w:name w:val="Medium Grid 3 Accent 3"/>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redniasiatka3akcent4">
    <w:name w:val="Medium Grid 3 Accent 4"/>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redniasiatka3akcent5">
    <w:name w:val="Medium Grid 3 Accent 5"/>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redniasiatka3akcent6">
    <w:name w:val="Medium Grid 3 Accent 6"/>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Ciemnalista">
    <w:name w:val="Dark List"/>
    <w:basedOn w:val="Standardowy"/>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Ciemnalista2akcent1">
    <w:name w:val="Dark List Accent 1"/>
    <w:basedOn w:val="Standardowy"/>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Ciemnalistaakcent2">
    <w:name w:val="Dark List Accent 2"/>
    <w:basedOn w:val="Standardowy"/>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Ciemnalistaakcent3">
    <w:name w:val="Dark List Accent 3"/>
    <w:basedOn w:val="Standardowy"/>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Ciemnalistaakcent4">
    <w:name w:val="Dark List Accent 4"/>
    <w:basedOn w:val="Standardowy"/>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Ciemnalistaakcent5">
    <w:name w:val="Dark List Accent 5"/>
    <w:basedOn w:val="Standardowy"/>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Ciemnalistaakcent6">
    <w:name w:val="Dark List Accent 6"/>
    <w:basedOn w:val="Standardowy"/>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Kolorowecieniowanie">
    <w:name w:val="Colorful Shading"/>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Kolorowecieniowanieakcent1">
    <w:name w:val="Colorful Shading Accent 1"/>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Kolorowecieniowanieakcent2">
    <w:name w:val="Colorful Shading Accent 2"/>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Kolorowecieniowanieakcent3">
    <w:name w:val="Colorful Shading Accent 3"/>
    <w:basedOn w:val="Standardowy"/>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Kolorowecieniowanieakcent4">
    <w:name w:val="Colorful Shading Accent 4"/>
    <w:basedOn w:val="Standardowy"/>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Kolorowecieniowanieakcent5">
    <w:name w:val="Colorful Shading Accent 5"/>
    <w:basedOn w:val="Standardowy"/>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Kolorowecieniowanieakcent6">
    <w:name w:val="Colorful Shading Accent 6"/>
    <w:basedOn w:val="Standardowy"/>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Kolorowalista">
    <w:name w:val="Colorful List"/>
    <w:basedOn w:val="Standardowy"/>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Kolorowalistaakcent1">
    <w:name w:val="Colorful List Accent 1"/>
    <w:basedOn w:val="Standardowy"/>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Kolorowalistaakcent2">
    <w:name w:val="Colorful List Accent 2"/>
    <w:basedOn w:val="Standardowy"/>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Kolorowalistaakcent3">
    <w:name w:val="Colorful List Accent 3"/>
    <w:basedOn w:val="Standardowy"/>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Kolorowalistaakcent4">
    <w:name w:val="Colorful List Accent 4"/>
    <w:basedOn w:val="Standardowy"/>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Kolorowalistaakcent5">
    <w:name w:val="Colorful List Accent 5"/>
    <w:basedOn w:val="Standardowy"/>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Kolorowalistaakcent6">
    <w:name w:val="Colorful List Accent 6"/>
    <w:basedOn w:val="Standardowy"/>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olorowasiatka">
    <w:name w:val="Colorful Grid"/>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olorowasiatkaakcent1">
    <w:name w:val="Colorful Grid Accent 1"/>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olorowasiatkaakcent2">
    <w:name w:val="Colorful Grid Accent 2"/>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olorowasiatkaakcent3">
    <w:name w:val="Colorful Grid Accent 3"/>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olorowasiatkaakcent4">
    <w:name w:val="Colorful Grid Accent 4"/>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olorowasiatkaakcent5">
    <w:name w:val="Colorful Grid Accent 5"/>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olorowasiatkaakcent6">
    <w:name w:val="Colorful Grid Accent 6"/>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213</TotalTime>
  <Pages>13</Pages>
  <Words>2830</Words>
  <Characters>16986</Characters>
  <Application>Microsoft Office Word</Application>
  <DocSecurity>0</DocSecurity>
  <Lines>141</Lines>
  <Paragraphs>39</Paragraphs>
  <ScaleCrop>false</ScaleCrop>
  <HeadingPairs>
    <vt:vector size="4" baseType="variant">
      <vt:variant>
        <vt:lpstr>Tytuł</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19777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Mazur, Mateusz</cp:lastModifiedBy>
  <cp:revision>37</cp:revision>
  <dcterms:created xsi:type="dcterms:W3CDTF">2026-07-08T11:11:00Z</dcterms:created>
  <dcterms:modified xsi:type="dcterms:W3CDTF">2026-09-23T11:10:00Z</dcterms:modified>
  <cp:category/>
</cp:coreProperties>
</file>